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4A" w:rsidRPr="00363F4A" w:rsidRDefault="00363F4A" w:rsidP="00363F4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363F4A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9 декабря 2016 г. № 1578 “Об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хозяйства”</w:t>
      </w:r>
    </w:p>
    <w:p w:rsidR="00363F4A" w:rsidRPr="00363F4A" w:rsidRDefault="00363F4A" w:rsidP="00363F4A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10 января 2017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 г. № 349-р (Собрание законодательства Российской Федерации, 2015, № 11, ст. 1629), приказываю: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Утвердить прилагаемый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4" w:anchor="10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федеральный государственный образовательный стандарт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среднего профессионального образования по профессии 08.01.26 Мастер по ремонту и обслуживанию инженерных систем жилищно-коммунального хозяйства.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363F4A" w:rsidRPr="00363F4A" w:rsidTr="00363F4A">
        <w:tc>
          <w:tcPr>
            <w:tcW w:w="2500" w:type="pct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О.Ю. Васильева</w:t>
            </w:r>
          </w:p>
        </w:tc>
      </w:tr>
    </w:tbl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23 декабря 2016 г.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Регистрационный № 44915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 среднего профессионального образования</w:t>
      </w: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по профессии 08.01.26 Мастер по ремонту и обслуживанию инженерных систем жилищно-коммунального хозяйства</w:t>
      </w: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</w:t>
      </w:r>
      <w:r w:rsidRPr="00363F4A">
        <w:rPr>
          <w:rFonts w:ascii="Arial" w:eastAsia="Times New Roman" w:hAnsi="Arial" w:cs="Arial"/>
          <w:b/>
          <w:bCs/>
          <w:color w:val="333333"/>
          <w:sz w:val="26"/>
        </w:rPr>
        <w:t> </w:t>
      </w:r>
      <w:hyperlink r:id="rId5" w:anchor="0" w:history="1">
        <w:r w:rsidRPr="00363F4A">
          <w:rPr>
            <w:rFonts w:ascii="Arial" w:eastAsia="Times New Roman" w:hAnsi="Arial" w:cs="Arial"/>
            <w:b/>
            <w:bCs/>
            <w:color w:val="2060A4"/>
            <w:sz w:val="26"/>
            <w:u w:val="single"/>
          </w:rPr>
          <w:t>приказом</w:t>
        </w:r>
      </w:hyperlink>
      <w:r w:rsidRPr="00363F4A">
        <w:rPr>
          <w:rFonts w:ascii="Arial" w:eastAsia="Times New Roman" w:hAnsi="Arial" w:cs="Arial"/>
          <w:b/>
          <w:bCs/>
          <w:color w:val="333333"/>
          <w:sz w:val="26"/>
        </w:rPr>
        <w:t> </w:t>
      </w: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Министерства образования и науки РФ от 9 декабря 2016 г. № 1578)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08.01.26 Мастер по ремонту и обслуживанию инженерных систем жилищно-коммунального хозяйства (далее - профессия).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6" w:anchor="100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приложении № 1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к настоящему ФГОС СПО.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7" w:anchor="11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*</w:t>
        </w:r>
      </w:hyperlink>
      <w:r w:rsidRPr="00363F4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1.6.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8" w:anchor="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**</w:t>
        </w:r>
      </w:hyperlink>
      <w:r w:rsidRPr="00363F4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на базе основного общего образования - 2 года 10 месяцев;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на базе среднего общего образования - 10 месяцев.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не более чем на 1,5 года при получении образования на базе основного общего образования;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не более чем на 1 год при получении образования на базе среднего общего образования.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При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обучении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обучении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по индивидуальному учебному плану обучающихся инвалидов и лиц с 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плану, определяются образовательной организацией самостоятельно в пределах сроков, установленных настоящим пунктом.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1.12.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>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  г., регистрационный № 44662):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слесарь-сантехник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2400" cy="161925"/>
            <wp:effectExtent l="19050" t="0" r="0" b="0"/>
            <wp:docPr id="1" name="Рисунок 1" descr="http://www.garant.ru/files/2/8/1083782/pict133-71476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2/8/1083782/pict133-7147629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электромонтажник по освещению и осветительным сетям.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Требования к структуре образовательной программы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Обязательная часть образовательной программы направлена на формирование общих и профессиональных компетенций, предусмотренных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0" w:anchor="13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главой III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СПО, и должна составлять не более 80 процентов от общего объема времени, отведенного на ее освоение.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о(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1" w:anchor="11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1.12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2.2. Образовательная программа имеет следующую структуру: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общепрофессиональный цикл;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профессиональный цикл;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государственная итоговая аттестация, которая завершается присвоением квалификаций квалифицированного рабочего, служащего, указанных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2" w:anchor="11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1.12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Таблица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2831"/>
      </w:tblGrid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180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972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3F4A" w:rsidRPr="00363F4A" w:rsidTr="00363F4A">
        <w:tc>
          <w:tcPr>
            <w:tcW w:w="0" w:type="auto"/>
            <w:gridSpan w:val="2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образовательной программы: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4248</w:t>
            </w:r>
          </w:p>
        </w:tc>
      </w:tr>
    </w:tbl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2.3. Перечень, содержание,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объем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2.4.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3" w:anchor="12211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общепрофессиональном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4" w:anchor="122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профессиональном циклах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5" w:anchor="1221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Таблицей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СПО, в очно-заочной форме обучения - не менее 25 процентов.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2.5. Освоение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6" w:anchor="12211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общепрофессионального цикла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жизнедеятельности», предусмотренного на изучение основ военной службы, на освоение основ медицинских знаний.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2.7.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7" w:anchor="122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Профессиональный цикл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8" w:anchor="122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профессиональный цикл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образовательной программы входят следующие виды практик: учебная практика и производственная практика.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Учебная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Часть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19" w:anchor="122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профессионального цикла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2.8.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0" w:anchor="12213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Государственная итоговая аттестация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проводится в форме защиты выпускной квалификационной работы в виде демонстрационного экзамена.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результатам освоения образовательной программы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03. Планировать и реализовывать собственное профессиональное и личностное развитие.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04. Работать в коллективе и команде, эффективно взаимодействовать с коллегами, руководством, клиентами.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09. Использовать информационные технологии в профессиональной деятельности.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10. Пользоваться профессиональной документацией на государственном и иностранном языках.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ОК 11. Планировать предпринимательскую деятельность в профессиональной сфере.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1" w:anchor="111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1.12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хозяйства;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3.4.1. Поддержание рабочего состояния оборудования систем водоснабжения, водоотведения, отопления объектов жилищно-коммунального хозяйства: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1.2. Проводить ремонт и монтаж отдельных узлов системы водоснабжения, водоотведения.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1.3. Проводить ремонт и монтаж отдельных узлов системы отопления.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3.4.2.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хозяйства: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2.1. 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2.2. 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ПК 2.3. 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3.5. Минимальные требования к результатам освоения основных видов деятельности образовательной программы представлены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2" w:anchor="20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приложении № 2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к настоящему ФГОС СПО.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3.6. Образовательная организация самостоятельно планирует результаты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обучения по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3" w:anchor="130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ОК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4" w:anchor="1304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ПК</w:t>
        </w:r>
      </w:hyperlink>
      <w:r w:rsidRPr="00363F4A">
        <w:rPr>
          <w:rFonts w:ascii="Arial" w:eastAsia="Times New Roman" w:hAnsi="Arial" w:cs="Arial"/>
          <w:color w:val="000000"/>
          <w:sz w:val="21"/>
          <w:szCs w:val="21"/>
        </w:rPr>
        <w:t>, установленных настоящим ФГОС СПО.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образовательной программы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4.2. Общесистемные требования к условиям реализации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5" w:anchor="1302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ОК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6" w:anchor="1304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ПК</w:t>
        </w:r>
      </w:hyperlink>
      <w:r w:rsidRPr="00363F4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к электронно-библиотечной системе (электронной библиотеке).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4.3.5. Обучающиеся инвалиды и лица с ограниченными возможностями здоровья и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4.4. Требования к кадровым условиям реализации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4.4.1.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7" w:anchor="1105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1.5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 (имеющих стаж работы в данной профессиональной области не менее 3 лет).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организациях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направление деятельности которых соответствует области профессиональной деятельности, указанной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8" w:anchor="1105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1.5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СПО, не реже 1 раза в 3 года с учетом расширения спектра профессиональных компетенций.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29" w:anchor="1105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пункте 1.5</w:t>
        </w:r>
      </w:hyperlink>
      <w:r w:rsidRPr="00363F4A">
        <w:rPr>
          <w:rFonts w:ascii="Arial" w:eastAsia="Times New Roman" w:hAnsi="Arial" w:cs="Arial"/>
          <w:color w:val="000000"/>
          <w:sz w:val="21"/>
          <w:szCs w:val="21"/>
        </w:rPr>
        <w:t>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4.5. Требования к финансовым условиям реализации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lastRenderedPageBreak/>
        <w:t>среднего профессионального образования по профессии с учетом корректирующих коэффициентов.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4.6. Требования к применяемым механизмам оценки качества образовательной программы.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4.6.3. 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_____________________________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* Приказ Министерства труда и социальной защиты Российской Федерации от 29 сентября 2014 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 г., регистрационный № 34779).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** См. статью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№ 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 xml:space="preserve"> № 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Приложение № 1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к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30" w:anchor="10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ФГОС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СПО по профессии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08.01.26 Мастер по ремонту и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обслуживанию инженерных систем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жилищно-коммунального хозяйства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08.01.26 Мастер по ремонту и обслуживанию инженерных систем жилищно-коммунального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6948"/>
      </w:tblGrid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16.086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«Слесарь домовых санитарно-технических систем и оборудования», утвержден приказом </w:t>
            </w: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 от 21 декабря 2015 г. № 1076н (зарегистрирован Министерством юстиции Российской Федерации 25 января 2016 г., регистрационный № 40771)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16.089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«Монтажник санитарно-технических систем и оборудования», утвержден приказом Министерства труда и социальной защиты Российской Федерации от 21 декабря 2015 г. № 1077н (зарегистрирован Министерством юстиции Российской Федерации 25 января 2016 г., регистрационный № 40740)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16.090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«Электромонтажник домовых электрических систем и оборудования», утвержден приказом Министерства труда и социальной защиты Российской Федерации от 21 декабря 2015 г. № 1073н (зарегистрирован Министерством юстиции Российской Федерации 25 января 2016 г., регистрационный № 40766)</w:t>
            </w:r>
          </w:p>
        </w:tc>
      </w:tr>
    </w:tbl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к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31" w:anchor="1000" w:history="1">
        <w:r w:rsidRPr="00363F4A">
          <w:rPr>
            <w:rFonts w:ascii="Arial" w:eastAsia="Times New Roman" w:hAnsi="Arial" w:cs="Arial"/>
            <w:color w:val="2060A4"/>
            <w:sz w:val="21"/>
            <w:u w:val="single"/>
          </w:rPr>
          <w:t>ФГОС</w:t>
        </w:r>
      </w:hyperlink>
      <w:r w:rsidRPr="00363F4A">
        <w:rPr>
          <w:rFonts w:ascii="Arial" w:eastAsia="Times New Roman" w:hAnsi="Arial" w:cs="Arial"/>
          <w:color w:val="000000"/>
          <w:sz w:val="21"/>
        </w:rPr>
        <w:t> 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t>СПО по профессии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08.01.26 Мастер по ремонту и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обслуживанию инженерных систем</w:t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жилищно-коммунального хозяйства</w:t>
      </w:r>
    </w:p>
    <w:p w:rsidR="00363F4A" w:rsidRPr="00363F4A" w:rsidRDefault="00363F4A" w:rsidP="00363F4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Минимальные требования</w:t>
      </w:r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к результатам </w:t>
      </w:r>
      <w:proofErr w:type="gramStart"/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363F4A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 профессии 08.01.26 Мастер по ремонту и обслуживанию инженерных систем жилищно-коммунального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5714"/>
      </w:tblGrid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требования по охране труда при проведении работ по техническому обслуживанию, ремонту и монтажу отдельных узлов оборудования систем водоснабжения, водоотведения, отопления объектов жилищно-коммунального хозяйства; виды и основные правила построения чертежей, эскизов и схем систем водоснабжения, водоотведения, отопления объектов жилищно-коммунального хозяйства; правила чтения технической и конструкторско-технологической документации; правила заполнения технической документации; сущности и содержания технической эксплуатации оборудования систем водоснабжения, водоотведения, отопления объектов жилищно-коммунального хозяйства; виды деятельности объектов жилищно-коммунального хозяйства, оказывающих негативное влияние на окружающую среду; виды, назначение, устройство, принципы работы домовых санитарно-технических систем и оборудования, домовых системы водоснабжения, в том числе поливочной системы и системы противопожарного водопровода, систем отопления, отопительных приборов, циркуляционных насосов, </w:t>
            </w: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элеваторных и тепловых узлов, запорно-регулирующей и водоразборной арматуры и вспомогательного оборудования; технологию техники обслуживания домовых санитарно-технических систем и оборудования;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 и принципы работы систем контроля технического состояния оборудования объектов жилищно-коммунального хозяйства; основные понятия систем автоматического управления и регулирования; назначение и принципы действия контрольно-измерительных приборов и аппаратов; правила применения контрольно-диагностической аппаратуры; правила применения универсальных и специальных приспособлений и контрольно-измерительного инструмента; сущность и содержание ремонта и монтажа систем водоснабжения, водоотведения, отопления объектов жилищно-коммунального хозяйства;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 внутридомовой системы отопления, системы холодного водоснабжения, в том числе поливочной системы и системы противопожарного водопровода к сезонной эксплуатации, опрессовки системы отопления; порядок обслуживания элеваторных и тепловых узлов и вспомогательного оборудования; технические документы на испытание и готовность к работе оборудования систем водоснабжения, водоотведения, отопления объектов жилищно-коммунального хозяйства; порядок сдачи после ремонта и испытаний оборудования систем водоснабжения, водоотведения, отопления объектов жилищно-коммунального хозяйства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меть: оценивать состояние рабочего места на соответствие требованиям охраны труда и полученному заданию/наряду; определять исправность средств индивидуальной защиты; читать и выполнять чертежи, эскизы и схемы систем водоснабжения, водоотведения, отопления объектов жилищно-коммунального хозяйства; подбирать материалы, инструменты и оборудование согласно технологическому процессу и сменному заданию/наряду; проводить техническое обслуживание оборудования систем водоснабжения, водоотведения, отопления объектов жилищно-коммунального хозяйства; заполнять техническую документацию по результатам осмотра; выполнять расчет необходимых материалов и оборудования при ремонте и монтаже отдельных узлов систем водоснабжения, водоотведения, отопления объектов жилищно-коммунального хозяйства; использовать инструменты, при выполнении ремонтных работ; устранять неисправности санитарно-технических систем и оборудования; проводить испытания отремонтированных систем и оборудования </w:t>
            </w: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водоснабжения, водоотведения, отопления объектов жилищно-коммунального хозяйства; подготавливать внутридомовые системы водоснабжения, отопления, в том числе поливочной системы и системы противопожарного водопровода к сезонной эксплуатации; выполнять консервацию внутридомовых систем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техническом обслуживании в соответствии с заданием/нарядом системы водоснабжения, водоотведения, отопления объектов жилищно-коммунального хозяйства;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монтаже отдельных узлов системы водоснабжения, водоотведения; ремонте и монтаже отдельных узлов системы отопления</w:t>
            </w:r>
          </w:p>
        </w:tc>
      </w:tr>
      <w:tr w:rsidR="00363F4A" w:rsidRPr="00363F4A" w:rsidTr="00363F4A"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0" w:type="auto"/>
            <w:hideMark/>
          </w:tcPr>
          <w:p w:rsidR="00363F4A" w:rsidRPr="00363F4A" w:rsidRDefault="00363F4A" w:rsidP="0036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требования по охране труда при проведении работ по техническому обслуживанию, ремонту и монтажу силовых, слаботочных и осветительных систем объектов жилищно-коммунального хозяйства; сущность и содержание технической эксплуатации электросиловых, слаботочных и осветительных систем объектов жилищно-коммунального хозяйства; правила чтения технической и конструкторско-технологической документации; правила заполнения технической документации; приемы и методы минимизации издержек на объектах жилищно-коммунального хозяйства;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 понятия о государственной системе приборов; назначение и принципы действия контрольно-измерительных приборов; классификацию и назначение чувствительных элементов; правила применения универсальных и специальных приспособлений и контрольно-измерительного инструмента; виды, основные правила построения простых электрических и монтажных чертежей и схем; виды, назначение, устройства, принципы работы электротехнических устройств;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и технику обслуживания осветительных приборов, электропроводок, щитового и другого электротехнического оборудования объектов жилищно-коммунального хозяйства; системы контроля технического состояния силовых, слаботочных и осветительных систем объектов жилищно-коммунального хозяйства; сущность и содержание ремонта и монтажа отдельных узлов силовых, слаботочных и осветительных систем объектов жилищно-коммунального хозяйства; технические документы на испытание и готовность к работе силовых, слаботочных и осветительных систем объектов жилищно-коммунального хозяйства;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средства испытаний электротехнического </w:t>
            </w:r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и электропроводок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меть: оценивать состояние рабочего места на соответствие требованиям охраны труда и полученному заданию/наряду; определять исправность средств индивидуальной защиты; подбирать и применять инструменты, приспособления и материалы согласно технологическому процессу и сменному заданию; читать и выполнять чертежи и эскизы простых электрических и монтажных схем; проводить плановый осмотр электросиловых, слаботочных и осветительных сетей объектов жилищно-коммунального хозяйства; заполнять техническую документацию; выполнять техническое обслуживание электротехнического оборудования и электропроводок; выполнять профилактические работы, способствующие эффективной работе электросиловых, слаботочных и осветительных систем объектов жилищно-коммунального хозяйства; проводить ремонтные и монтажные работы отдельных узлов системы освещения, силового и слаботочного оборудования объектов жилищно-коммунального хозяйства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практический опыт в: техническом обслуживании силовых и слаботочных систем зданий и сооружений, освещения и осветительных сетей объектов жилищно-коммунального хозяйства в соответствии с заданием/ нарядом; ремонте и монтаже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документации; </w:t>
            </w:r>
            <w:proofErr w:type="gramStart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Pr="00363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монтаже отдельных узлов силовых и слаботочных систем зданий и сооружений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</w:tbl>
    <w:p w:rsidR="00363F4A" w:rsidRPr="00363F4A" w:rsidRDefault="00363F4A" w:rsidP="00363F4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363F4A">
        <w:rPr>
          <w:rFonts w:ascii="Arial" w:eastAsia="Times New Roman" w:hAnsi="Arial" w:cs="Arial"/>
          <w:b/>
          <w:bCs/>
          <w:color w:val="4D4D4D"/>
          <w:sz w:val="27"/>
          <w:szCs w:val="27"/>
        </w:rPr>
        <w:lastRenderedPageBreak/>
        <w:t>Обзор документа</w:t>
      </w:r>
    </w:p>
    <w:p w:rsidR="00363F4A" w:rsidRPr="00363F4A" w:rsidRDefault="00363F4A" w:rsidP="00363F4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F4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Утвержден федеральный государственный образовательный стандарт среднего профессионального образования по профессии "Мастер по ремонту и обслуживанию инженерных систем жилищно-коммунального хозяйства" (08.01.26).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Стандарт представляет собой совокупность обязательных требований к среднему профессиональному образованию по указанной профессии.</w:t>
      </w:r>
    </w:p>
    <w:p w:rsidR="00363F4A" w:rsidRPr="00363F4A" w:rsidRDefault="00363F4A" w:rsidP="00363F4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63F4A">
        <w:rPr>
          <w:rFonts w:ascii="Arial" w:eastAsia="Times New Roman" w:hAnsi="Arial" w:cs="Arial"/>
          <w:color w:val="000000"/>
          <w:sz w:val="21"/>
          <w:szCs w:val="21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C75248" w:rsidRDefault="00363F4A" w:rsidP="00363F4A"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63F4A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363F4A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363F4A">
        <w:rPr>
          <w:rFonts w:ascii="Arial" w:eastAsia="Times New Roman" w:hAnsi="Arial" w:cs="Arial"/>
          <w:color w:val="000000"/>
          <w:sz w:val="21"/>
          <w:szCs w:val="21"/>
        </w:rPr>
        <w:t>У:</w:t>
      </w:r>
      <w:r w:rsidRPr="00363F4A">
        <w:rPr>
          <w:rFonts w:ascii="Arial" w:eastAsia="Times New Roman" w:hAnsi="Arial" w:cs="Arial"/>
          <w:color w:val="000000"/>
          <w:sz w:val="21"/>
        </w:rPr>
        <w:t> </w:t>
      </w:r>
      <w:hyperlink r:id="rId32" w:anchor="ixzz4sjCPcW1T" w:history="1">
        <w:r w:rsidRPr="00363F4A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http://www.garant.ru/products/ipo/prime/doc/71476294/#ixzz4sjCPcW1T</w:t>
        </w:r>
      </w:hyperlink>
    </w:p>
    <w:sectPr w:rsidR="00C7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4A"/>
    <w:rsid w:val="00363F4A"/>
    <w:rsid w:val="00C7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3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3F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F4A"/>
  </w:style>
  <w:style w:type="character" w:styleId="a4">
    <w:name w:val="Hyperlink"/>
    <w:basedOn w:val="a0"/>
    <w:uiPriority w:val="99"/>
    <w:semiHidden/>
    <w:unhideWhenUsed/>
    <w:rsid w:val="00363F4A"/>
    <w:rPr>
      <w:color w:val="0000FF"/>
      <w:u w:val="single"/>
    </w:rPr>
  </w:style>
  <w:style w:type="paragraph" w:customStyle="1" w:styleId="toleft">
    <w:name w:val="toleft"/>
    <w:basedOn w:val="a"/>
    <w:rsid w:val="0036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294/" TargetMode="External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garant.ru/products/ipo/prime/doc/71476294/" TargetMode="External"/><Relationship Id="rId26" Type="http://schemas.openxmlformats.org/officeDocument/2006/relationships/hyperlink" Target="http://www.garant.ru/products/ipo/prime/doc/714762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47629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arant.ru/products/ipo/prime/doc/71476294/" TargetMode="External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garant.ru/products/ipo/prime/doc/71476294/" TargetMode="External"/><Relationship Id="rId25" Type="http://schemas.openxmlformats.org/officeDocument/2006/relationships/hyperlink" Target="http://www.garant.ru/products/ipo/prime/doc/71476294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hyperlink" Target="http://www.garant.ru/products/ipo/prime/doc/71476294/" TargetMode="External"/><Relationship Id="rId29" Type="http://schemas.openxmlformats.org/officeDocument/2006/relationships/hyperlink" Target="http://www.garant.ru/products/ipo/prime/doc/714762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6294/" TargetMode="External"/><Relationship Id="rId11" Type="http://schemas.openxmlformats.org/officeDocument/2006/relationships/hyperlink" Target="http://www.garant.ru/products/ipo/prime/doc/71476294/" TargetMode="External"/><Relationship Id="rId24" Type="http://schemas.openxmlformats.org/officeDocument/2006/relationships/hyperlink" Target="http://www.garant.ru/products/ipo/prime/doc/71476294/" TargetMode="External"/><Relationship Id="rId32" Type="http://schemas.openxmlformats.org/officeDocument/2006/relationships/hyperlink" Target="http://www.garant.ru/products/ipo/prime/doc/71476294/" TargetMode="External"/><Relationship Id="rId5" Type="http://schemas.openxmlformats.org/officeDocument/2006/relationships/hyperlink" Target="http://www.garant.ru/products/ipo/prime/doc/71476294/" TargetMode="External"/><Relationship Id="rId15" Type="http://schemas.openxmlformats.org/officeDocument/2006/relationships/hyperlink" Target="http://www.garant.ru/products/ipo/prime/doc/71476294/" TargetMode="External"/><Relationship Id="rId23" Type="http://schemas.openxmlformats.org/officeDocument/2006/relationships/hyperlink" Target="http://www.garant.ru/products/ipo/prime/doc/71476294/" TargetMode="External"/><Relationship Id="rId28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www.garant.ru/products/ipo/prime/doc/71476294/" TargetMode="External"/><Relationship Id="rId31" Type="http://schemas.openxmlformats.org/officeDocument/2006/relationships/hyperlink" Target="http://www.garant.ru/products/ipo/prime/doc/71476294/" TargetMode="External"/><Relationship Id="rId4" Type="http://schemas.openxmlformats.org/officeDocument/2006/relationships/hyperlink" Target="http://www.garant.ru/products/ipo/prime/doc/71476294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71476294/" TargetMode="External"/><Relationship Id="rId22" Type="http://schemas.openxmlformats.org/officeDocument/2006/relationships/hyperlink" Target="http://www.garant.ru/products/ipo/prime/doc/71476294/" TargetMode="External"/><Relationship Id="rId27" Type="http://schemas.openxmlformats.org/officeDocument/2006/relationships/hyperlink" Target="http://www.garant.ru/products/ipo/prime/doc/71476294/" TargetMode="External"/><Relationship Id="rId30" Type="http://schemas.openxmlformats.org/officeDocument/2006/relationships/hyperlink" Target="http://www.garant.ru/products/ipo/prime/doc/7147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v-n-markushev</dc:creator>
  <cp:keywords/>
  <dc:description/>
  <cp:lastModifiedBy>v-n-markushev</cp:lastModifiedBy>
  <cp:revision>2</cp:revision>
  <dcterms:created xsi:type="dcterms:W3CDTF">2017-09-15T06:53:00Z</dcterms:created>
  <dcterms:modified xsi:type="dcterms:W3CDTF">2017-09-15T06:54:00Z</dcterms:modified>
</cp:coreProperties>
</file>