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89" w:rsidRPr="00981A42" w:rsidRDefault="009F4289" w:rsidP="00FC2F1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color w:val="002060"/>
          <w:sz w:val="24"/>
          <w:szCs w:val="24"/>
        </w:rPr>
        <w:t>ПАСПОРТ ПРОЕКТА № 1</w:t>
      </w:r>
    </w:p>
    <w:p w:rsidR="009F4289" w:rsidRPr="00981A42" w:rsidRDefault="009F4289" w:rsidP="00747858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9F4289" w:rsidRPr="00981A42" w:rsidRDefault="009F4289" w:rsidP="008012E1">
      <w:pPr>
        <w:spacing w:after="0"/>
        <w:ind w:firstLine="42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color w:val="002060"/>
          <w:sz w:val="24"/>
          <w:szCs w:val="24"/>
        </w:rPr>
        <w:t xml:space="preserve"> «Социальное партнерство ОГБПОУ «</w:t>
      </w:r>
      <w:r w:rsidR="00A273B7">
        <w:rPr>
          <w:rFonts w:ascii="Times New Roman" w:hAnsi="Times New Roman"/>
          <w:b/>
          <w:color w:val="002060"/>
          <w:sz w:val="24"/>
          <w:szCs w:val="24"/>
        </w:rPr>
        <w:t>Костромской колледж отраслевых технологий строительства и лесной промышленности</w:t>
      </w:r>
      <w:r w:rsidR="006777CD">
        <w:rPr>
          <w:rFonts w:ascii="Times New Roman" w:hAnsi="Times New Roman"/>
          <w:b/>
          <w:color w:val="002060"/>
          <w:sz w:val="24"/>
          <w:szCs w:val="24"/>
        </w:rPr>
        <w:t xml:space="preserve">» </w:t>
      </w:r>
      <w:r w:rsidRPr="00981A42">
        <w:rPr>
          <w:rFonts w:ascii="Times New Roman" w:hAnsi="Times New Roman"/>
          <w:b/>
          <w:color w:val="002060"/>
          <w:sz w:val="24"/>
          <w:szCs w:val="24"/>
        </w:rPr>
        <w:t>по непрерывной профессиональной подготовке</w:t>
      </w:r>
      <w:r w:rsidR="00190E3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Pr="00981A42">
        <w:rPr>
          <w:rFonts w:ascii="Times New Roman" w:hAnsi="Times New Roman"/>
          <w:b/>
          <w:color w:val="002060"/>
          <w:sz w:val="24"/>
          <w:szCs w:val="24"/>
        </w:rPr>
        <w:t xml:space="preserve">компетентных специалистов, рабочих кадров в условиях многоуровневого, многофункционального центра (далее ММЦ) для строительного и деревообрабатывающего секторов экономики региона»  </w:t>
      </w:r>
    </w:p>
    <w:p w:rsidR="009F4289" w:rsidRPr="00981A42" w:rsidRDefault="009F4289" w:rsidP="008012E1">
      <w:pPr>
        <w:spacing w:after="0"/>
        <w:ind w:firstLine="42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color w:val="002060"/>
          <w:sz w:val="24"/>
          <w:szCs w:val="24"/>
        </w:rPr>
        <w:t>на 201</w:t>
      </w:r>
      <w:r w:rsidR="00A273B7">
        <w:rPr>
          <w:rFonts w:ascii="Times New Roman" w:hAnsi="Times New Roman"/>
          <w:b/>
          <w:color w:val="002060"/>
          <w:sz w:val="24"/>
          <w:szCs w:val="24"/>
        </w:rPr>
        <w:t>8</w:t>
      </w:r>
      <w:r w:rsidRPr="00981A42">
        <w:rPr>
          <w:rFonts w:ascii="Times New Roman" w:hAnsi="Times New Roman"/>
          <w:b/>
          <w:color w:val="002060"/>
          <w:sz w:val="24"/>
          <w:szCs w:val="24"/>
        </w:rPr>
        <w:t>– 20</w:t>
      </w:r>
      <w:r w:rsidR="00A273B7">
        <w:rPr>
          <w:rFonts w:ascii="Times New Roman" w:hAnsi="Times New Roman"/>
          <w:b/>
          <w:color w:val="002060"/>
          <w:sz w:val="24"/>
          <w:szCs w:val="24"/>
        </w:rPr>
        <w:t>2</w:t>
      </w:r>
      <w:r w:rsidR="001002C7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981A42">
        <w:rPr>
          <w:rFonts w:ascii="Times New Roman" w:hAnsi="Times New Roman"/>
          <w:b/>
          <w:color w:val="002060"/>
          <w:sz w:val="24"/>
          <w:szCs w:val="24"/>
        </w:rPr>
        <w:t xml:space="preserve"> годы </w:t>
      </w: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409"/>
        <w:gridCol w:w="7488"/>
      </w:tblGrid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</w:t>
            </w:r>
          </w:p>
        </w:tc>
        <w:tc>
          <w:tcPr>
            <w:tcW w:w="74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Содержание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Краткая аннотация</w:t>
            </w:r>
          </w:p>
        </w:tc>
        <w:tc>
          <w:tcPr>
            <w:tcW w:w="7488" w:type="dxa"/>
          </w:tcPr>
          <w:p w:rsidR="009F4289" w:rsidRPr="00981A42" w:rsidRDefault="009F42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Проект разработан для организации взаимовыгодного социального партнерства  обеспечивающего деятельность ОГБПОУ «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Костромской колледж отраслевых технологий строительства и лесной промышленности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» как многофункционального многоуровневого центра (далее – ММЦ).</w:t>
            </w:r>
          </w:p>
          <w:p w:rsidR="009F4289" w:rsidRPr="00981A42" w:rsidRDefault="009F4289" w:rsidP="005F58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Проблема, которую решает данный проект – эффективная  реализация  работодателями функции заказчиков кадров,  обеспечивающих целевое трудоустройство  выпускников; разработка</w:t>
            </w:r>
            <w:r w:rsidRPr="00981A4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апробация и экспертиза с привлечением профильных организаций и объединений работодателей основных программ профессионального обучения и дополнительных профессиональных программ, включая оценочные, методические и учебные материалы. Формирование  системы непрерывной профессиональной подготовки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компетентных специалистов, рабочих кадров для строительного и деревообрабатывающего секторов экономики региона                                                                                               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Проектная группа</w:t>
            </w: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88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Руководитель:    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Кафтанникова О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С.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– старший мастер</w:t>
            </w:r>
          </w:p>
          <w:p w:rsidR="00A273B7" w:rsidRDefault="009F4289" w:rsidP="00A273B7">
            <w:pPr>
              <w:pStyle w:val="a3"/>
              <w:spacing w:line="276" w:lineRule="auto"/>
              <w:ind w:left="3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Проектная группа:</w:t>
            </w:r>
          </w:p>
          <w:p w:rsidR="00A273B7" w:rsidRPr="00981A42" w:rsidRDefault="00A273B7" w:rsidP="00A273B7">
            <w:pPr>
              <w:pStyle w:val="a3"/>
              <w:spacing w:line="276" w:lineRule="auto"/>
              <w:ind w:left="3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Дзюба И.Г. – заведующий лесопромышленного отделения</w:t>
            </w:r>
          </w:p>
          <w:p w:rsidR="009F4289" w:rsidRPr="00981A42" w:rsidRDefault="009F4289" w:rsidP="00A273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Александрова В.В.– мастер производственного </w:t>
            </w:r>
          </w:p>
          <w:p w:rsidR="009F4289" w:rsidRPr="00981A42" w:rsidRDefault="00A273B7" w:rsidP="00A273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Шарейко Е.М.</w:t>
            </w:r>
            <w:r w:rsidR="009F4289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–  преподаватель спецдисциплин</w:t>
            </w:r>
          </w:p>
          <w:p w:rsidR="009F4289" w:rsidRPr="00981A42" w:rsidRDefault="00A273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Воропанова И.М.</w:t>
            </w:r>
            <w:r w:rsidR="009F4289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преподаватель спецдисциплин</w:t>
            </w:r>
          </w:p>
          <w:p w:rsidR="009F4289" w:rsidRPr="00981A42" w:rsidRDefault="00A273B7" w:rsidP="00A273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Бакурина С.И.</w:t>
            </w:r>
            <w:r w:rsidR="009F4289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мастер производственного  обучения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Размещение объекта</w:t>
            </w:r>
            <w:r w:rsidR="001002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проектирования</w:t>
            </w:r>
          </w:p>
        </w:tc>
        <w:tc>
          <w:tcPr>
            <w:tcW w:w="7488" w:type="dxa"/>
          </w:tcPr>
          <w:p w:rsidR="009F4289" w:rsidRPr="00981A42" w:rsidRDefault="009F42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Размещение проекта на уровне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в рамках Программы развития, согласование его с уже  существующими, разрабатываемыми, внедряемыми  объектами.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При реализации данного проекта возможны эффекты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на другие проекты в рамках Программы развития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Цель проекта</w:t>
            </w:r>
          </w:p>
        </w:tc>
        <w:tc>
          <w:tcPr>
            <w:tcW w:w="7488" w:type="dxa"/>
          </w:tcPr>
          <w:p w:rsidR="009F4289" w:rsidRPr="00981A42" w:rsidRDefault="009F4289" w:rsidP="005F58CF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Обеспечение, формирования непрерывной профессиональной подготовки, переподготовки и повышении квалификации специалистов в соответствии с новейшими достижениями теории и практики профессионального образования на основе взаимовыгодного социального партнерства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Задачи проекта</w:t>
            </w:r>
          </w:p>
        </w:tc>
        <w:tc>
          <w:tcPr>
            <w:tcW w:w="7488" w:type="dxa"/>
          </w:tcPr>
          <w:p w:rsidR="009F4289" w:rsidRPr="00981A42" w:rsidRDefault="009F4289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5.1.Разработка совместно с социальными партнерами «коротких» программ</w:t>
            </w:r>
            <w:r w:rsidR="00FC6D14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обеспечивающих потребности организацийв квалифицированных специалистах и рабочих кадрах</w:t>
            </w:r>
            <w:r w:rsidR="00FC6D14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,  физических лиц в приобретении профессиональных компетенций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</w:p>
          <w:p w:rsidR="009F4289" w:rsidRPr="00981A42" w:rsidRDefault="009F4289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5.2. Организация  внешней содержательной экспертизы ОПОП и согласование требований к специалистам  (корректировка ОПОП по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профессиям, специальностям СПО)</w:t>
            </w:r>
          </w:p>
          <w:p w:rsidR="009F4289" w:rsidRPr="00981A42" w:rsidRDefault="009F4289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5.3. Организация целевой подготовки обучающих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ся для предприятий строительной, </w:t>
            </w:r>
            <w:r w:rsidR="006777CD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деревообрабатывающей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и лесопромышленной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отраслей региона</w:t>
            </w:r>
          </w:p>
          <w:p w:rsidR="009F4289" w:rsidRPr="00981A42" w:rsidRDefault="009F4289" w:rsidP="008F406A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5.4. Взаимодействие с работодателями по формированию системы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наставничества и дуального обучения</w:t>
            </w:r>
          </w:p>
          <w:p w:rsidR="009F4289" w:rsidRPr="00981A42" w:rsidRDefault="009F4289" w:rsidP="008F406A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5.5. Создание информационного контента по профессиям, специальностям, организациям  строительства и деревообработки</w:t>
            </w:r>
          </w:p>
          <w:p w:rsidR="007948D9" w:rsidRPr="00981A42" w:rsidRDefault="007948D9" w:rsidP="008F406A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5.6. Организация предпрофессиональной и допрофессиональной подготовки учащихся школ</w:t>
            </w:r>
            <w:r w:rsidR="004F3F0D"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Пользователи</w:t>
            </w:r>
            <w:r w:rsidR="001002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продукта</w:t>
            </w:r>
          </w:p>
        </w:tc>
        <w:tc>
          <w:tcPr>
            <w:tcW w:w="7488" w:type="dxa"/>
          </w:tcPr>
          <w:p w:rsidR="009F4289" w:rsidRPr="00981A42" w:rsidRDefault="009F4289" w:rsidP="00C75BD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Участники учебно-воспитательного процесса (педагогический коллектив, администрация, студенты и слушатели, родители), социальные партнеры, общественные организации и другие заинтересованные стороны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Ресурсноеобеспечение проекта</w:t>
            </w: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88" w:type="dxa"/>
          </w:tcPr>
          <w:p w:rsidR="009F4289" w:rsidRPr="00981A42" w:rsidRDefault="009F4289">
            <w:pPr>
              <w:pStyle w:val="a3"/>
              <w:spacing w:line="276" w:lineRule="auto"/>
              <w:ind w:left="601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Виды ресурсов: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Информационные:</w:t>
            </w: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 Действующее законодательство РФ в сфере профессионального образования, интернет-ресурсы, методические рекомендации по технологии проектирования и по теме проекта.  (КОИРО; образовательные организации, имеющие опыт по теме проектирования; и др.).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Кадровые</w:t>
            </w:r>
            <w:r w:rsidRPr="00981A42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:</w:t>
            </w:r>
          </w:p>
          <w:p w:rsidR="009F4289" w:rsidRPr="00981A42" w:rsidRDefault="009F4289">
            <w:pPr>
              <w:pStyle w:val="a3"/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-собственные: проектная группа; </w:t>
            </w:r>
          </w:p>
          <w:p w:rsidR="009F4289" w:rsidRPr="00981A42" w:rsidRDefault="009F4289">
            <w:pPr>
              <w:pStyle w:val="a3"/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- привлеченные социальные партнеры как эксперты проекта;</w:t>
            </w:r>
          </w:p>
          <w:p w:rsidR="009F4289" w:rsidRPr="00981A42" w:rsidRDefault="009F4289">
            <w:pPr>
              <w:pStyle w:val="a3"/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-привлеченные: консультант  КОИРО, другие привлекаемые ли</w:t>
            </w:r>
            <w:r w:rsidR="004F3F0D"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ца в процессе работы по проекту.</w:t>
            </w:r>
          </w:p>
          <w:p w:rsidR="006170AB" w:rsidRPr="006170AB" w:rsidRDefault="009F4289" w:rsidP="006170AB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AB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Нормативно-правовые: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Федеральный закон от 29.12.2012 № 273-ФЗ «Об образовании в Российской Федерации».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 1662-р (редакция от 10.02.2017).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 2227-р).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Российской Федерации «Развитие образования» на 2018-2025 годы.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Указ Президента РФ № 597 от 7 мая 2012 г. «О мероприятиях по реализации государственной социальной политики».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Постановление Правительства РФ от 22.01.2013 № 23 «О Правилах разработки, утверждения и применения профессиональных стандартов»</w:t>
            </w:r>
          </w:p>
          <w:p w:rsidR="006170AB" w:rsidRPr="006170AB" w:rsidRDefault="006170AB" w:rsidP="006170A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6170AB">
              <w:rPr>
                <w:rFonts w:ascii="Times New Roman" w:hAnsi="Times New Roman"/>
                <w:color w:val="002060"/>
              </w:rPr>
              <w:t>Проект «Стратегия развития системы подготовки кадров и формирование прикладных квалификаций в Российской Федерации на период до 2020 года».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Постановление администрации Костромской области от 26 декабря 2013 г. №584-а «Об утверждении государственной </w:t>
            </w: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программы Костромской области «Развитие образования Костромской области на 2014-2020 годы» (в редакции от 28 марта 2017 года № 106-а).</w:t>
            </w:r>
          </w:p>
          <w:p w:rsidR="006170AB" w:rsidRPr="006170AB" w:rsidRDefault="006170AB" w:rsidP="006170AB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Приказ департамента образования и науки Костромской области  «О реализации регионального пилотного проекта» № 531 от 01.03.2017 г. </w:t>
            </w:r>
          </w:p>
          <w:p w:rsidR="006170AB" w:rsidRPr="006170AB" w:rsidRDefault="006170AB" w:rsidP="006170AB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6170AB">
              <w:rPr>
                <w:rFonts w:ascii="Times New Roman" w:hAnsi="Times New Roman"/>
                <w:snapToGrid w:val="0"/>
                <w:color w:val="002060"/>
              </w:rPr>
              <w:t>Устав Костромского колледжа отраслевых технологий строительства и лесной промышленности</w:t>
            </w:r>
          </w:p>
          <w:p w:rsidR="009F4289" w:rsidRPr="00981A42" w:rsidRDefault="009F4289" w:rsidP="006170AB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Материально-технические: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 интернет, программное обеспечение.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 xml:space="preserve">Финансовые: </w:t>
            </w: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внебюджетные и грантовые источники финансирования,  на обеспечение реализации настоящего проекта.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Организационные</w:t>
            </w:r>
            <w:r w:rsidRPr="00981A42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 xml:space="preserve"> (управление проектом):  </w:t>
            </w:r>
          </w:p>
          <w:p w:rsidR="009F4289" w:rsidRPr="00981A42" w:rsidRDefault="009F4289">
            <w:pPr>
              <w:pStyle w:val="a3"/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-</w:t>
            </w: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самоорганизация проектной группы, </w:t>
            </w:r>
          </w:p>
          <w:p w:rsidR="009F4289" w:rsidRPr="00981A42" w:rsidRDefault="009F4289">
            <w:pPr>
              <w:pStyle w:val="a3"/>
              <w:spacing w:line="276" w:lineRule="auto"/>
              <w:ind w:left="743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-</w:t>
            </w:r>
            <w:r w:rsidRPr="00981A42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 xml:space="preserve">контроль текущий, предварительный, завершающий (внешняя экспертиза проекта). </w:t>
            </w:r>
          </w:p>
          <w:p w:rsidR="009F4289" w:rsidRPr="00981A42" w:rsidRDefault="009F4289" w:rsidP="007F5A96">
            <w:pPr>
              <w:pStyle w:val="a3"/>
              <w:numPr>
                <w:ilvl w:val="0"/>
                <w:numId w:val="1"/>
              </w:numPr>
              <w:spacing w:line="276" w:lineRule="auto"/>
              <w:ind w:left="743"/>
              <w:jc w:val="both"/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i/>
                <w:iCs/>
                <w:color w:val="002060"/>
                <w:sz w:val="24"/>
                <w:szCs w:val="24"/>
              </w:rPr>
              <w:t>Мониторинг реализации проекта</w:t>
            </w:r>
          </w:p>
          <w:p w:rsidR="009F4289" w:rsidRPr="00981A42" w:rsidRDefault="009F4289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Подведение итогов реализации проекта в форме «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SWOT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анализа»; анализ  выполнения целевых показателей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Сроки разработки и реализации проекта</w:t>
            </w: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685A0B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88" w:type="dxa"/>
          </w:tcPr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этап проектно-аналитический февраль –  август 201</w:t>
            </w:r>
            <w:r w:rsidR="00A273B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формирование творческой группы;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разработка нормативно-правовых документов;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согласование действий по проекту и его реализации с учредителем - департамент образования и науки Костромской области;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разработка проекта и перспективных планов реализации;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этап технологический  сентябрь 201</w:t>
            </w:r>
            <w:r w:rsidR="00A273B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  –  октябрь 20</w:t>
            </w:r>
            <w:r w:rsidR="001002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  <w:p w:rsidR="005C40E0" w:rsidRPr="00981A42" w:rsidRDefault="005C40E0" w:rsidP="005C40E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-организация целевой подготовки студентов для предприятий строительной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деревообрабатывающей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и лесопромышленной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отрасли;</w:t>
            </w:r>
          </w:p>
          <w:p w:rsidR="005C40E0" w:rsidRPr="00A4549E" w:rsidRDefault="005C40E0" w:rsidP="005C40E0">
            <w:pPr>
              <w:spacing w:after="0"/>
              <w:jc w:val="both"/>
            </w:pPr>
            <w:r>
              <w:rPr>
                <w:rFonts w:ascii="Times New Roman" w:hAnsi="Times New Roman"/>
                <w:color w:val="002060"/>
              </w:rPr>
              <w:t>-</w:t>
            </w:r>
            <w:r w:rsidRPr="005C40E0">
              <w:rPr>
                <w:rFonts w:ascii="Times New Roman" w:hAnsi="Times New Roman"/>
                <w:color w:val="002060"/>
              </w:rPr>
              <w:t>привлечение работодателей и бизнеса к формированию современного содержания профессионального образования, реализации ФГОС СПО нового поколения, ТОП- 50, к внедрению современных технологий, формированию комплексной системы профессиональной ориентации, к профессионально-общественной аккредитации образовательных программ, независимой оценке эффективности и качества подготовки кадров</w:t>
            </w:r>
            <w:r w:rsidRPr="00A4549E">
              <w:t>.</w:t>
            </w:r>
          </w:p>
          <w:p w:rsidR="009F4289" w:rsidRPr="00981A42" w:rsidRDefault="009F4289" w:rsidP="008F406A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-заключение с работодателями долгосрочных договоров на подготовку, переподготовку   специалистов, том числе и по запросам центров и служб занятости населения;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-обеспечение участия работодателей в контроле и оценке качества образования, участие социальных партнеров в Государственной итоговой и про</w:t>
            </w:r>
            <w:r w:rsidR="004204E5">
              <w:rPr>
                <w:rFonts w:ascii="Times New Roman" w:hAnsi="Times New Roman"/>
                <w:color w:val="002060"/>
                <w:sz w:val="24"/>
                <w:szCs w:val="24"/>
              </w:rPr>
              <w:t>межуточной аттестации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организация проведения региональных конкурсов и олимпиад профессионального мастерства на базе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среди студентов, мастеров производственного обучения, рабочих предприятий;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организация повышения компетентности среди педагогических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работников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на базе предприятий работодателей (в форме стажировки);</w:t>
            </w:r>
          </w:p>
          <w:p w:rsidR="009F4289" w:rsidRPr="00981A42" w:rsidRDefault="009F4289" w:rsidP="00BC24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-организация работы педагогического коллектива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 совместно с работодателями в профориентационной работе;</w:t>
            </w:r>
          </w:p>
          <w:p w:rsidR="009F4289" w:rsidRPr="00981A42" w:rsidRDefault="009F4289" w:rsidP="00BC24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-взаимодействие с работодателями по формированию системы сертификации квалификаций;</w:t>
            </w:r>
          </w:p>
          <w:p w:rsidR="009F4289" w:rsidRPr="00981A42" w:rsidRDefault="009F4289" w:rsidP="00BC24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-участие социальных партнеров в Государственной итоговой аттестации;</w:t>
            </w:r>
          </w:p>
          <w:p w:rsidR="009F4289" w:rsidRPr="00981A42" w:rsidRDefault="009F4289" w:rsidP="00FE174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-подведение ежегодных промежуточных итогов выполнения цели и задач проекта;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-корректировка плана реализации проекта.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III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этап рефлексивно-обобщающ</w:t>
            </w:r>
            <w:r w:rsidR="005C40E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ий – ноябрь 20</w:t>
            </w:r>
            <w:r w:rsidR="001002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="0046556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</w:t>
            </w:r>
            <w:r w:rsidR="005C40E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 – июнь 202</w:t>
            </w:r>
            <w:r w:rsidR="001002C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 мониторинг и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SWOT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-анализ результатов реализации проекта;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общественная экспертиза реализуемого проекта;</w:t>
            </w:r>
          </w:p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анализ выполнения целевых показателей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Ожидаемый результат</w:t>
            </w:r>
          </w:p>
        </w:tc>
        <w:tc>
          <w:tcPr>
            <w:tcW w:w="7488" w:type="dxa"/>
          </w:tcPr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9.1Положительная внешняя содержательная экспертиза всех ОПОП, </w:t>
            </w:r>
            <w:r w:rsidR="00465560" w:rsidRPr="005C40E0">
              <w:rPr>
                <w:rFonts w:ascii="Times New Roman" w:hAnsi="Times New Roman"/>
                <w:color w:val="002060"/>
              </w:rPr>
              <w:t>реализации ФГОС СПО нового поколения, ТОП- 50</w:t>
            </w:r>
            <w:r w:rsidR="00465560">
              <w:rPr>
                <w:rFonts w:ascii="Times New Roman" w:hAnsi="Times New Roman"/>
                <w:color w:val="002060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 с учетом внесенных изменений работодателями, по профессиям и специальностям СПО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9.2 Увеличение количества обучающихся  по целевой  подготовке специалистов строительной  и деревообрабатывающей отрасли; </w:t>
            </w:r>
          </w:p>
          <w:p w:rsidR="009F4289" w:rsidRPr="00981A42" w:rsidRDefault="009F4289" w:rsidP="00151B27">
            <w:pPr>
              <w:spacing w:after="0"/>
              <w:ind w:firstLine="1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9.</w:t>
            </w:r>
            <w:r w:rsidR="00892C2C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Активное участие работодателей на всех этапах образовательного процесса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в условиях ММЦ для подготовки специалистов и рабочих кадров строительного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деревообрабатывающего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 лесопромышленных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секторов экономики региона</w:t>
            </w:r>
          </w:p>
          <w:p w:rsidR="009F4289" w:rsidRPr="00981A42" w:rsidRDefault="009F4289" w:rsidP="00685A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Оценка результатов (жизнеспособность) проекта</w:t>
            </w:r>
          </w:p>
        </w:tc>
        <w:tc>
          <w:tcPr>
            <w:tcW w:w="7488" w:type="dxa"/>
          </w:tcPr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На уровне </w:t>
            </w:r>
            <w:r w:rsidR="00A273B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а: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 пользователями материально-технической базы - возможность  приобрести навыки в условиях производства;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мастерами производственного обучения и преподаватели специальных дисциплин (оценка возможности  реализации практической части рабочих программ);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административная оценка (полноту и эффективность реализации функций социальных партнеров). 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Социальная оценка  (</w:t>
            </w:r>
            <w:r w:rsidRPr="00981A42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</w:rPr>
              <w:t>общественная оценка):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- социальными партнерами (качество подготовки специалистов);</w:t>
            </w:r>
          </w:p>
          <w:p w:rsidR="009F4289" w:rsidRPr="00981A42" w:rsidRDefault="009F428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- департаментом образования и науки Костромской области (оценка эффективности деятельности </w:t>
            </w:r>
            <w:r w:rsidR="00A273B7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а);</w:t>
            </w:r>
          </w:p>
          <w:p w:rsidR="009F4289" w:rsidRPr="00981A42" w:rsidRDefault="009F4289" w:rsidP="006C67A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-общественно-профессиональная  оценка (самообследование)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9F4289" w:rsidRPr="00981A42" w:rsidRDefault="009F4289">
            <w:pPr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Критерии оценки эффективности  проекта</w:t>
            </w:r>
          </w:p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88" w:type="dxa"/>
          </w:tcPr>
          <w:p w:rsidR="009F4289" w:rsidRPr="00A40157" w:rsidRDefault="009F4289" w:rsidP="00EF78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>-100% из числа /</w:t>
            </w:r>
            <w:r w:rsidRPr="00A40157">
              <w:rPr>
                <w:rFonts w:ascii="Times New Roman" w:hAnsi="Times New Roman"/>
                <w:noProof/>
                <w:color w:val="002060"/>
                <w:sz w:val="24"/>
                <w:szCs w:val="28"/>
              </w:rPr>
              <w:t>преподавателей/ мастеров  производственного обучения,  прошедших специализированную стажировку  у на базе предприятий  работодателя</w:t>
            </w:r>
          </w:p>
          <w:p w:rsidR="009F4289" w:rsidRPr="00A40157" w:rsidRDefault="009F42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- 100% выполнение цифр комплектования </w:t>
            </w:r>
            <w:r w:rsidR="00A273B7"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>а согласно плана госзадания</w:t>
            </w:r>
          </w:p>
          <w:p w:rsidR="009F4289" w:rsidRPr="00A40157" w:rsidRDefault="009F4289" w:rsidP="007506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A4015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-положительная внешняя содержательная экспертиза всех ОПОП,</w:t>
            </w:r>
            <w:r w:rsidR="00A40157" w:rsidRPr="00A40157">
              <w:rPr>
                <w:rFonts w:ascii="Times New Roman" w:hAnsi="Times New Roman"/>
                <w:color w:val="002060"/>
              </w:rPr>
              <w:t xml:space="preserve"> реализации ФГОС СПО нового поколения, ТОП- 50</w:t>
            </w:r>
            <w:r w:rsidRPr="00A4015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реализуемых в </w:t>
            </w:r>
            <w:r w:rsidR="00A273B7" w:rsidRPr="00A4015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колледж</w:t>
            </w:r>
            <w:r w:rsidRPr="00A4015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е  с учетом внесенных изменений работодателями</w:t>
            </w:r>
          </w:p>
          <w:p w:rsidR="009F4289" w:rsidRPr="00A40157" w:rsidRDefault="005D4C13" w:rsidP="00302F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-активность работодателей, </w:t>
            </w:r>
            <w:r w:rsidR="009F4289" w:rsidRPr="00A4015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как заказчиков на образовательные услуги  повышение квалификации, обучения по «коротким» </w:t>
            </w:r>
            <w:r w:rsidR="009F4289" w:rsidRPr="00A40157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программам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 w:rsidP="009410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</w:t>
            </w:r>
            <w:r w:rsidR="009410B7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Основные риски при реализации проекта</w:t>
            </w:r>
          </w:p>
        </w:tc>
        <w:tc>
          <w:tcPr>
            <w:tcW w:w="7488" w:type="dxa"/>
          </w:tcPr>
          <w:p w:rsidR="009F4289" w:rsidRPr="00981A42" w:rsidRDefault="009F4289" w:rsidP="007F5A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Нестабильная социально-экономическая ситуация в стране, Костромской области, инфляция, ухудшение социально-экономического положения населения.</w:t>
            </w:r>
          </w:p>
          <w:p w:rsidR="009F4289" w:rsidRPr="00981A42" w:rsidRDefault="009F4289" w:rsidP="007F5A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Конкуренция на рынке образовательных услуг со стороны других статусных образовательных учреждений.</w:t>
            </w:r>
          </w:p>
          <w:p w:rsidR="009F4289" w:rsidRPr="00981A42" w:rsidRDefault="009F4289" w:rsidP="007F5A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Привлечение организациями строительной и деревообрабатывающей отрасли рабочего персонала со стороны.</w:t>
            </w:r>
          </w:p>
          <w:p w:rsidR="009F4289" w:rsidRPr="00981A42" w:rsidRDefault="009F42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bCs/>
                <w:iCs/>
                <w:color w:val="002060"/>
                <w:sz w:val="24"/>
                <w:szCs w:val="24"/>
              </w:rPr>
              <w:t>Пути преодоления:</w:t>
            </w:r>
            <w:r w:rsidRPr="00981A42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 xml:space="preserve"> убеждение, примеры, статистика; приобретение опыта; пересмотр стратегии взаимодействия с социальными  партнерами</w:t>
            </w:r>
          </w:p>
        </w:tc>
      </w:tr>
      <w:tr w:rsidR="009F4289" w:rsidRPr="00981A42" w:rsidTr="007948D9">
        <w:trPr>
          <w:trHeight w:val="27"/>
        </w:trPr>
        <w:tc>
          <w:tcPr>
            <w:tcW w:w="588" w:type="dxa"/>
          </w:tcPr>
          <w:p w:rsidR="009F4289" w:rsidRPr="00981A42" w:rsidRDefault="009F4289" w:rsidP="009410B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9410B7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F4289" w:rsidRPr="00981A42" w:rsidRDefault="009F4289">
            <w:pPr>
              <w:pStyle w:val="a3"/>
              <w:spacing w:line="276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Основные приложения к проекту</w:t>
            </w:r>
          </w:p>
        </w:tc>
        <w:tc>
          <w:tcPr>
            <w:tcW w:w="7488" w:type="dxa"/>
          </w:tcPr>
          <w:p w:rsidR="009F4289" w:rsidRPr="00981A42" w:rsidRDefault="009F4289" w:rsidP="007F5A9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Поэтапный план проектной деятельности, включающий основные мероприятия реализации </w:t>
            </w:r>
          </w:p>
          <w:p w:rsidR="009F4289" w:rsidRPr="00981A42" w:rsidRDefault="009F4289" w:rsidP="0016530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Целевые </w:t>
            </w:r>
            <w:r w:rsidRPr="00981A4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индикаторы и показатели результативности реализации проекта</w:t>
            </w:r>
          </w:p>
          <w:p w:rsidR="009F4289" w:rsidRPr="00981A42" w:rsidRDefault="009F4289" w:rsidP="00302F3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Другая документация и информация, связанная с проектной деятельностью (внесение изменений, дополнений, корректировки, согласования и др.)</w:t>
            </w:r>
          </w:p>
          <w:p w:rsidR="009F4289" w:rsidRPr="00981A42" w:rsidRDefault="009F4289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9F4289" w:rsidRPr="00981A42" w:rsidRDefault="009F4289" w:rsidP="008012E1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9F4289" w:rsidRPr="00981A42" w:rsidRDefault="009F4289" w:rsidP="008012E1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981A42">
        <w:rPr>
          <w:rFonts w:ascii="Times New Roman" w:hAnsi="Times New Roman"/>
          <w:color w:val="002060"/>
          <w:sz w:val="24"/>
          <w:szCs w:val="24"/>
        </w:rPr>
        <w:t xml:space="preserve">Руководитель проекта, </w:t>
      </w:r>
    </w:p>
    <w:p w:rsidR="009F4289" w:rsidRPr="00981A42" w:rsidRDefault="009F4289" w:rsidP="008012E1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981A42">
        <w:rPr>
          <w:rFonts w:ascii="Times New Roman" w:hAnsi="Times New Roman"/>
          <w:color w:val="002060"/>
          <w:sz w:val="24"/>
          <w:szCs w:val="24"/>
        </w:rPr>
        <w:t xml:space="preserve">старший мастер                                                                                           </w:t>
      </w:r>
      <w:r w:rsidR="00A273B7">
        <w:rPr>
          <w:rFonts w:ascii="Times New Roman" w:hAnsi="Times New Roman"/>
          <w:color w:val="002060"/>
          <w:sz w:val="24"/>
          <w:szCs w:val="24"/>
        </w:rPr>
        <w:t>О.С. Кафтанникова</w:t>
      </w:r>
    </w:p>
    <w:p w:rsidR="009F4289" w:rsidRPr="00981A42" w:rsidRDefault="009F4289" w:rsidP="008012E1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9F4289" w:rsidRDefault="009F4289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E846D4" w:rsidRDefault="00E846D4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E846D4" w:rsidRDefault="00E846D4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E846D4" w:rsidRDefault="00E846D4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E846D4" w:rsidRDefault="00E846D4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126882" w:rsidRPr="00981A42" w:rsidRDefault="00126882" w:rsidP="008012E1">
      <w:pPr>
        <w:pStyle w:val="a3"/>
        <w:rPr>
          <w:rFonts w:ascii="Times New Roman" w:hAnsi="Times New Roman"/>
          <w:i/>
          <w:color w:val="002060"/>
          <w:sz w:val="24"/>
          <w:szCs w:val="24"/>
        </w:rPr>
      </w:pPr>
    </w:p>
    <w:p w:rsidR="00E94F08" w:rsidRDefault="00E94F08">
      <w:pPr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br w:type="page"/>
      </w:r>
    </w:p>
    <w:p w:rsidR="009F4289" w:rsidRPr="00981A42" w:rsidRDefault="009F4289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i/>
          <w:color w:val="002060"/>
          <w:sz w:val="24"/>
          <w:szCs w:val="24"/>
        </w:rPr>
        <w:lastRenderedPageBreak/>
        <w:t>Приложение 1</w:t>
      </w:r>
    </w:p>
    <w:p w:rsidR="009F4289" w:rsidRPr="00981A42" w:rsidRDefault="009F4289" w:rsidP="008012E1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F4289" w:rsidRPr="00981A42" w:rsidRDefault="009F4289" w:rsidP="008012E1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color w:val="002060"/>
          <w:sz w:val="24"/>
          <w:szCs w:val="24"/>
        </w:rPr>
        <w:t>ПОЭТАПНЫЙ  ПЛАН ПРОЕКТНОЙ  ДЕЯТЕЛЬНОСТИ</w:t>
      </w:r>
    </w:p>
    <w:tbl>
      <w:tblPr>
        <w:tblpPr w:leftFromText="180" w:rightFromText="180" w:bottomFromText="200" w:vertAnchor="text" w:horzAnchor="margin" w:tblpXSpec="center" w:tblpY="14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25"/>
        <w:gridCol w:w="4676"/>
        <w:gridCol w:w="2550"/>
      </w:tblGrid>
      <w:tr w:rsidR="009F4289" w:rsidRPr="00981A42">
        <w:trPr>
          <w:trHeight w:val="280"/>
        </w:trPr>
        <w:tc>
          <w:tcPr>
            <w:tcW w:w="2944" w:type="dxa"/>
            <w:gridSpan w:val="2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Период</w:t>
            </w:r>
          </w:p>
        </w:tc>
        <w:tc>
          <w:tcPr>
            <w:tcW w:w="4676" w:type="dxa"/>
            <w:vMerge w:val="restart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Деятельность,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Основные мероприятия</w:t>
            </w:r>
          </w:p>
        </w:tc>
        <w:tc>
          <w:tcPr>
            <w:tcW w:w="2550" w:type="dxa"/>
            <w:vMerge w:val="restart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Ожидаемый 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результат</w:t>
            </w:r>
          </w:p>
        </w:tc>
      </w:tr>
      <w:tr w:rsidR="009F4289" w:rsidRPr="00981A42">
        <w:trPr>
          <w:trHeight w:val="220"/>
        </w:trPr>
        <w:tc>
          <w:tcPr>
            <w:tcW w:w="1419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долгосрочный</w:t>
            </w: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среднесрочный</w:t>
            </w:r>
          </w:p>
        </w:tc>
        <w:tc>
          <w:tcPr>
            <w:tcW w:w="4676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F4289" w:rsidRPr="00981A42">
        <w:trPr>
          <w:trHeight w:val="54"/>
        </w:trPr>
        <w:tc>
          <w:tcPr>
            <w:tcW w:w="10170" w:type="dxa"/>
            <w:gridSpan w:val="4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Проектно-аналитический этап</w:t>
            </w:r>
          </w:p>
        </w:tc>
      </w:tr>
      <w:tr w:rsidR="009F4289" w:rsidRPr="00981A42">
        <w:trPr>
          <w:trHeight w:val="630"/>
        </w:trPr>
        <w:tc>
          <w:tcPr>
            <w:tcW w:w="1419" w:type="dxa"/>
            <w:vMerge w:val="restart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март –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август</w:t>
            </w:r>
          </w:p>
          <w:p w:rsidR="009F4289" w:rsidRPr="00981A42" w:rsidRDefault="009F4289" w:rsidP="00A4015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</w:t>
            </w:r>
            <w:r w:rsidR="00A401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  <w:vMerge w:val="restart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A4015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Март 201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Формирование творческой рабочей группы для разработки и последующего внедрения проекта.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Рабочая группа создана, работа организована</w:t>
            </w:r>
          </w:p>
        </w:tc>
      </w:tr>
      <w:tr w:rsidR="009F4289" w:rsidRPr="00981A42">
        <w:trPr>
          <w:trHeight w:val="1210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Изучение нормативно-правовых документов федерального и регионального значения, программы развития профессионального образования, стратегии развития образования на государственном уровне.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Документы изучены, выработаны ключевые направления деятельности по реализации проекта </w:t>
            </w:r>
          </w:p>
        </w:tc>
      </w:tr>
      <w:tr w:rsidR="009F4289" w:rsidRPr="00981A42">
        <w:trPr>
          <w:trHeight w:val="300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Консультации с представителями общественности, социальными партнерами работодателями, участниками образовательного процесса, представителями Костромского областного института развития образования.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Консультации проведены, определена концепция и стратегия реализации проекта</w:t>
            </w:r>
          </w:p>
        </w:tc>
      </w:tr>
      <w:tr w:rsidR="00A40157" w:rsidRPr="00981A42" w:rsidTr="00AC165E">
        <w:trPr>
          <w:trHeight w:val="1597"/>
        </w:trPr>
        <w:tc>
          <w:tcPr>
            <w:tcW w:w="1419" w:type="dxa"/>
            <w:vMerge/>
            <w:vAlign w:val="center"/>
          </w:tcPr>
          <w:p w:rsidR="00A40157" w:rsidRPr="00981A42" w:rsidRDefault="00A40157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0157" w:rsidRPr="00981A42" w:rsidRDefault="00A40157" w:rsidP="00A4015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A40157" w:rsidRPr="00981A42" w:rsidRDefault="00A40157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Разработка  структуры проекта, определение целей и задач реализации проекта, установка сроков разработки и реализации проекта.</w:t>
            </w:r>
          </w:p>
        </w:tc>
        <w:tc>
          <w:tcPr>
            <w:tcW w:w="2550" w:type="dxa"/>
          </w:tcPr>
          <w:p w:rsidR="00A40157" w:rsidRPr="00981A42" w:rsidRDefault="00A40157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Структура проекта разработана, </w:t>
            </w:r>
          </w:p>
          <w:p w:rsidR="00A40157" w:rsidRPr="00981A42" w:rsidRDefault="00A40157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внутренняя защита структуры проекта.</w:t>
            </w:r>
          </w:p>
        </w:tc>
      </w:tr>
      <w:tr w:rsidR="009F4289" w:rsidRPr="00981A42">
        <w:trPr>
          <w:trHeight w:val="384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A4015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Июнь 201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Доработка и корректировка структуры проекта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Предварительное утверждение проекта учредителем.</w:t>
            </w:r>
          </w:p>
        </w:tc>
      </w:tr>
      <w:tr w:rsidR="009F4289" w:rsidRPr="00981A42">
        <w:trPr>
          <w:trHeight w:val="618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Июнь-август</w:t>
            </w:r>
          </w:p>
          <w:p w:rsidR="009F4289" w:rsidRPr="00981A42" w:rsidRDefault="009F4289" w:rsidP="00A4015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201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Разработка перспективного плана реализации проекта и окончательное согласование с учредителем.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Утверждение программы развития в целом и как элемент программы настоящий проект</w:t>
            </w:r>
          </w:p>
        </w:tc>
      </w:tr>
      <w:tr w:rsidR="009F4289" w:rsidRPr="00981A42">
        <w:trPr>
          <w:trHeight w:val="54"/>
        </w:trPr>
        <w:tc>
          <w:tcPr>
            <w:tcW w:w="10170" w:type="dxa"/>
            <w:gridSpan w:val="4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9F4289" w:rsidRPr="00981A42">
        <w:trPr>
          <w:trHeight w:val="54"/>
        </w:trPr>
        <w:tc>
          <w:tcPr>
            <w:tcW w:w="10170" w:type="dxa"/>
            <w:gridSpan w:val="4"/>
          </w:tcPr>
          <w:p w:rsidR="009F4289" w:rsidRPr="00981A42" w:rsidRDefault="009F4289" w:rsidP="00360EC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Технологический этап</w:t>
            </w:r>
          </w:p>
        </w:tc>
      </w:tr>
      <w:tr w:rsidR="005021F1" w:rsidRPr="00981A42">
        <w:trPr>
          <w:trHeight w:val="1169"/>
        </w:trPr>
        <w:tc>
          <w:tcPr>
            <w:tcW w:w="1419" w:type="dxa"/>
            <w:vMerge w:val="restart"/>
          </w:tcPr>
          <w:p w:rsidR="005021F1" w:rsidRPr="00981A42" w:rsidRDefault="005021F1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5021F1" w:rsidRPr="00981A42" w:rsidRDefault="005021F1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сентябрь 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201</w:t>
            </w:r>
            <w:r w:rsidR="00A401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  –  октябрь 20</w:t>
            </w:r>
            <w:r w:rsidR="00A4015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  <w:vMerge w:val="restart"/>
          </w:tcPr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Ежегодно сентябрь-декабрь </w:t>
            </w:r>
          </w:p>
        </w:tc>
        <w:tc>
          <w:tcPr>
            <w:tcW w:w="4676" w:type="dxa"/>
          </w:tcPr>
          <w:p w:rsidR="005021F1" w:rsidRPr="00981A42" w:rsidRDefault="005021F1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5021F1" w:rsidRPr="00981A42" w:rsidRDefault="005021F1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Организация  внешней содержательной экспертизы ОПОП и согласование требований к специалистам  (</w:t>
            </w:r>
            <w:r w:rsidRPr="00981A4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основных программ профессионального обучения и дополнительных профессиональных программ, включая оценочные, </w:t>
            </w:r>
            <w:r w:rsidRPr="00981A42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lastRenderedPageBreak/>
              <w:t>методические и учебные материалы,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корректировка функциональных карт, фонда контрольно-оценочных средств по профессиям, специальностям СПО)</w:t>
            </w:r>
            <w:r w:rsidR="00A40157">
              <w:rPr>
                <w:rFonts w:ascii="Times New Roman" w:hAnsi="Times New Roman"/>
                <w:color w:val="002060"/>
              </w:rPr>
              <w:t xml:space="preserve">реализации </w:t>
            </w:r>
            <w:r w:rsidR="00A40157" w:rsidRPr="00A40157">
              <w:rPr>
                <w:rFonts w:ascii="Times New Roman" w:hAnsi="Times New Roman"/>
                <w:color w:val="002060"/>
              </w:rPr>
              <w:t>ФГОС СПО нового поколения, ТОП- 50</w:t>
            </w:r>
          </w:p>
        </w:tc>
        <w:tc>
          <w:tcPr>
            <w:tcW w:w="2550" w:type="dxa"/>
          </w:tcPr>
          <w:p w:rsidR="005021F1" w:rsidRPr="00981A42" w:rsidRDefault="005021F1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Положительная внешняя содержательная экспертиза всех ОПОП,</w:t>
            </w:r>
            <w:r w:rsidR="00A40157" w:rsidRPr="00A40157">
              <w:rPr>
                <w:rFonts w:ascii="Times New Roman" w:hAnsi="Times New Roman"/>
                <w:color w:val="002060"/>
              </w:rPr>
              <w:t xml:space="preserve"> ФГОС СПО нового поколения, ТОП- 50</w:t>
            </w:r>
            <w:r w:rsidR="00A40157">
              <w:rPr>
                <w:rFonts w:ascii="Times New Roman" w:hAnsi="Times New Roman"/>
                <w:color w:val="002060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реализуемых в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е,  с учетом внесенных изменений работодателями, согласно функциональным картам по профессиям и специальностям СПО</w:t>
            </w:r>
          </w:p>
        </w:tc>
      </w:tr>
      <w:tr w:rsidR="005021F1" w:rsidRPr="00981A42">
        <w:trPr>
          <w:trHeight w:val="1169"/>
        </w:trPr>
        <w:tc>
          <w:tcPr>
            <w:tcW w:w="1419" w:type="dxa"/>
            <w:vMerge/>
          </w:tcPr>
          <w:p w:rsidR="005021F1" w:rsidRPr="00981A42" w:rsidRDefault="005021F1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021F1" w:rsidRPr="00981A42" w:rsidRDefault="005021F1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76" w:type="dxa"/>
          </w:tcPr>
          <w:p w:rsidR="005021F1" w:rsidRPr="00981A42" w:rsidRDefault="005021F1" w:rsidP="00D47D9D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Проведение маркетинговых исследований </w:t>
            </w:r>
            <w:r w:rsidR="00D47D9D"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образовательных запросов социальных партнеров и населения. Формирование тематики «коротких»  программ</w:t>
            </w:r>
          </w:p>
        </w:tc>
        <w:tc>
          <w:tcPr>
            <w:tcW w:w="2550" w:type="dxa"/>
          </w:tcPr>
          <w:p w:rsidR="005021F1" w:rsidRPr="00981A42" w:rsidRDefault="00D47D9D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База данных перечни программ согласно классификации заказчиков</w:t>
            </w:r>
          </w:p>
        </w:tc>
      </w:tr>
      <w:tr w:rsidR="00A40157" w:rsidRPr="00981A42" w:rsidTr="00A40157">
        <w:trPr>
          <w:trHeight w:val="1687"/>
        </w:trPr>
        <w:tc>
          <w:tcPr>
            <w:tcW w:w="1419" w:type="dxa"/>
            <w:vMerge/>
            <w:vAlign w:val="center"/>
          </w:tcPr>
          <w:p w:rsidR="00A40157" w:rsidRPr="00981A42" w:rsidRDefault="00A40157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40157" w:rsidRPr="00981A42" w:rsidRDefault="00A40157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4676" w:type="dxa"/>
          </w:tcPr>
          <w:p w:rsidR="00A40157" w:rsidRPr="00981A42" w:rsidRDefault="00A40157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A40157" w:rsidRPr="00A40157" w:rsidRDefault="00A40157" w:rsidP="00A40157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Организация целевой подготовки студентов для предприятий строительного комплекса</w:t>
            </w:r>
          </w:p>
        </w:tc>
        <w:tc>
          <w:tcPr>
            <w:tcW w:w="2550" w:type="dxa"/>
          </w:tcPr>
          <w:p w:rsidR="00A40157" w:rsidRPr="00981A42" w:rsidRDefault="00A40157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Целевая подготовка специалистов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строительного комплекса</w:t>
            </w:r>
          </w:p>
        </w:tc>
      </w:tr>
      <w:tr w:rsidR="009F4289" w:rsidRPr="00981A42" w:rsidTr="004F3F0D">
        <w:trPr>
          <w:trHeight w:val="1320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Сентябрь - декабрь 201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- 20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9F4289" w:rsidRPr="00981A42" w:rsidRDefault="009F4289" w:rsidP="004F3F0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Заключение с работодателями долгосрочных договоров на подготовку, переподготовку   студентов и взрослого населения</w:t>
            </w:r>
            <w:r w:rsidR="004F3F0D"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Заключение договоров</w:t>
            </w:r>
          </w:p>
        </w:tc>
      </w:tr>
      <w:tr w:rsidR="009F4289" w:rsidRPr="00981A42">
        <w:trPr>
          <w:trHeight w:val="1892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Декабрь 20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–  июнь 20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Участие работодателей в контроле и оценке качества образования посредством участия в промежуточной и итоговой аттестации студентов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(ДЭ)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Положительный отзыв работодателя, подписание протокола.</w:t>
            </w:r>
          </w:p>
        </w:tc>
      </w:tr>
      <w:tr w:rsidR="009F4289" w:rsidRPr="00981A42">
        <w:trPr>
          <w:trHeight w:val="618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F4289" w:rsidRPr="00981A42" w:rsidRDefault="009F4289" w:rsidP="00BA6BAC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Апрель - Май </w:t>
            </w:r>
          </w:p>
          <w:p w:rsidR="009F4289" w:rsidRPr="00981A42" w:rsidRDefault="009F4289" w:rsidP="00BA6BAC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9F4289" w:rsidRPr="00981A42" w:rsidRDefault="009F4289" w:rsidP="00BA6BAC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76" w:type="dxa"/>
          </w:tcPr>
          <w:p w:rsidR="009F4289" w:rsidRPr="00981A42" w:rsidRDefault="009F4289" w:rsidP="00B708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Проведение региональных конкурсов и олимпиад профессионального мастерства среди студентов, мастеров производственного обучения, рабочих предприятий,  на базе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и на строительных объектах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организация и проведение региональных</w:t>
            </w:r>
            <w:r w:rsidR="00A4015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чемпионат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ов«Молодые профессионалы» по стандвртамВорлдСкиллс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Обмен опытом, повышение квалификации.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Сравнительный анализ качества обученности студентов</w:t>
            </w:r>
          </w:p>
        </w:tc>
      </w:tr>
      <w:tr w:rsidR="009F4289" w:rsidRPr="00981A42">
        <w:trPr>
          <w:trHeight w:val="618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F4289" w:rsidRPr="00981A42" w:rsidRDefault="009F4289" w:rsidP="00F1535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Декабрь 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апрель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Формирование детального плана  по взаимодействию  с работодателями в организации профориентационной работы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Разработанный детальный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план</w:t>
            </w:r>
          </w:p>
        </w:tc>
      </w:tr>
      <w:tr w:rsidR="009F4289" w:rsidRPr="00981A42">
        <w:trPr>
          <w:trHeight w:val="618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F4289" w:rsidRPr="00981A42" w:rsidRDefault="009F4289" w:rsidP="00F1535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Октябрь 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апрель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Организация повышения профессиональной компетентности среди педагогических работников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на базе предприятий работодателей (в форме стажировки)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 xml:space="preserve">Разработанный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план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повышения профессиональной компетентности педагогических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работников </w:t>
            </w:r>
            <w:r w:rsidR="00A273B7">
              <w:rPr>
                <w:rFonts w:ascii="Times New Roman" w:hAnsi="Times New Roman"/>
                <w:color w:val="002060"/>
                <w:sz w:val="24"/>
                <w:szCs w:val="24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а на базе предприятий работодателей (в форме стажировки)</w:t>
            </w:r>
          </w:p>
        </w:tc>
      </w:tr>
      <w:tr w:rsidR="009F4289" w:rsidRPr="00981A42">
        <w:trPr>
          <w:trHeight w:val="618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F1535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Октябрь 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- апрель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  <w:vAlign w:val="center"/>
          </w:tcPr>
          <w:p w:rsidR="009F4289" w:rsidRPr="00981A42" w:rsidRDefault="009F4289" w:rsidP="00384AC0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проведения встреч, «круглых столов», совещаний по координации совместной работы  учетом внедрения в учебный процесс новых обучающих и строительных технологий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Разработанный детальный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план</w:t>
            </w:r>
          </w:p>
        </w:tc>
      </w:tr>
      <w:tr w:rsidR="009F4289" w:rsidRPr="00981A42">
        <w:trPr>
          <w:trHeight w:val="54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Июнь 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– август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Июнь 201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-август 2021</w:t>
            </w:r>
          </w:p>
          <w:p w:rsidR="00B708CC" w:rsidRDefault="00B708CC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Июнь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F1535B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Корректировка плана реализации проекта. </w:t>
            </w:r>
          </w:p>
          <w:p w:rsidR="00F1535B" w:rsidRDefault="00F1535B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1535B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Подведение ежегодных промежуточных итогов выполнения цели и задач проекта. </w:t>
            </w:r>
          </w:p>
          <w:p w:rsidR="00F1535B" w:rsidRDefault="00F1535B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Определение проблем и путей решения из сложившейся ситуации по ходу реализации проекта.</w:t>
            </w:r>
          </w:p>
        </w:tc>
        <w:tc>
          <w:tcPr>
            <w:tcW w:w="2550" w:type="dxa"/>
          </w:tcPr>
          <w:p w:rsidR="00F1535B" w:rsidRDefault="00F1535B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Определение жизнеспособности проекта, экспертная оценка результативности реализации проекта</w:t>
            </w:r>
          </w:p>
        </w:tc>
      </w:tr>
      <w:tr w:rsidR="009F4289" w:rsidRPr="00981A42">
        <w:trPr>
          <w:trHeight w:val="54"/>
        </w:trPr>
        <w:tc>
          <w:tcPr>
            <w:tcW w:w="10170" w:type="dxa"/>
            <w:gridSpan w:val="4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Рефлексивно-обобщающий  этап</w:t>
            </w:r>
          </w:p>
        </w:tc>
      </w:tr>
      <w:tr w:rsidR="009F4289" w:rsidRPr="00981A42">
        <w:trPr>
          <w:trHeight w:val="54"/>
        </w:trPr>
        <w:tc>
          <w:tcPr>
            <w:tcW w:w="1419" w:type="dxa"/>
            <w:vMerge w:val="restart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Ноябрь 20</w:t>
            </w:r>
            <w:r w:rsidR="00F1535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года– июнь</w:t>
            </w:r>
          </w:p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20</w:t>
            </w:r>
            <w:r w:rsidR="00B708C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  <w:r w:rsidRPr="00981A4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</w:tcPr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Ноябрь - декабрь 20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анализа информации о оценке социологических опросов потребителей образовательных услуг, участников образовательного процесса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Обработка первичной информации о результатах деятельности</w:t>
            </w:r>
          </w:p>
        </w:tc>
      </w:tr>
      <w:tr w:rsidR="009F4289" w:rsidRPr="00981A42">
        <w:trPr>
          <w:trHeight w:val="54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Январь – февраль 20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Общественная экспертиза результативности реализуемого проекта.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Экспертные заключения о состоятельности проекта</w:t>
            </w:r>
          </w:p>
        </w:tc>
      </w:tr>
      <w:tr w:rsidR="009F4289" w:rsidRPr="00981A42">
        <w:trPr>
          <w:trHeight w:val="54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Март – </w:t>
            </w:r>
          </w:p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апрель </w:t>
            </w:r>
          </w:p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Мониторинг  результатов и проведение «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SWOT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анализа» реализации проекта.</w:t>
            </w:r>
          </w:p>
          <w:p w:rsidR="009F4289" w:rsidRPr="00981A42" w:rsidRDefault="009F4289" w:rsidP="00BA6BAC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Определение уровня достижения до целевых индикаторов результативности реализации проекта</w:t>
            </w:r>
          </w:p>
        </w:tc>
      </w:tr>
      <w:tr w:rsidR="009F4289" w:rsidRPr="00981A42">
        <w:trPr>
          <w:trHeight w:val="54"/>
        </w:trPr>
        <w:tc>
          <w:tcPr>
            <w:tcW w:w="1419" w:type="dxa"/>
            <w:vMerge/>
            <w:vAlign w:val="center"/>
          </w:tcPr>
          <w:p w:rsidR="009F4289" w:rsidRPr="00981A42" w:rsidRDefault="009F4289" w:rsidP="00BA6BA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4289" w:rsidRPr="00981A42" w:rsidRDefault="009F4289" w:rsidP="00F1535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Май – июнь 20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1535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года</w:t>
            </w:r>
          </w:p>
        </w:tc>
        <w:tc>
          <w:tcPr>
            <w:tcW w:w="4676" w:type="dxa"/>
          </w:tcPr>
          <w:p w:rsidR="009F4289" w:rsidRPr="00981A42" w:rsidRDefault="009F4289" w:rsidP="00B708C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Предоставление отчёта о результатах реализации проекта сов</w:t>
            </w:r>
            <w:r w:rsidR="00B708CC">
              <w:rPr>
                <w:rFonts w:ascii="Times New Roman" w:hAnsi="Times New Roman"/>
                <w:color w:val="002060"/>
                <w:sz w:val="24"/>
                <w:szCs w:val="24"/>
              </w:rPr>
              <w:t>ету ОГБПОУ «ККОТС и ЛП»</w:t>
            </w:r>
          </w:p>
        </w:tc>
        <w:tc>
          <w:tcPr>
            <w:tcW w:w="2550" w:type="dxa"/>
          </w:tcPr>
          <w:p w:rsidR="009F4289" w:rsidRPr="00981A42" w:rsidRDefault="009F4289" w:rsidP="00BA6BA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Общая оценка о реализации программы развития в целом и как её элемента настоящего проекта, признание работы педагогического коллектива по данному направлению удовлетворительной</w:t>
            </w:r>
          </w:p>
        </w:tc>
      </w:tr>
    </w:tbl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565392" w:rsidRDefault="00565392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9F4289" w:rsidRPr="00981A42" w:rsidRDefault="009F4289" w:rsidP="008012E1">
      <w:pPr>
        <w:pStyle w:val="a3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i/>
          <w:color w:val="002060"/>
          <w:sz w:val="24"/>
          <w:szCs w:val="24"/>
        </w:rPr>
        <w:t>Приложение 2</w:t>
      </w:r>
    </w:p>
    <w:p w:rsidR="009F4289" w:rsidRPr="00981A42" w:rsidRDefault="009F4289" w:rsidP="00801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</w:p>
    <w:p w:rsidR="009F4289" w:rsidRPr="00981A42" w:rsidRDefault="009F4289" w:rsidP="00801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981A42">
        <w:rPr>
          <w:rFonts w:ascii="Times New Roman" w:hAnsi="Times New Roman"/>
          <w:b/>
          <w:bCs/>
          <w:color w:val="002060"/>
          <w:sz w:val="24"/>
          <w:szCs w:val="24"/>
        </w:rPr>
        <w:t>ЦЕЛЕВЫЕ ИНДИКАТОРЫ РЕЗУЛЬТАТИВНОСТИ РЕАЛИЗАЦИИ ПРОЕКТА</w:t>
      </w:r>
    </w:p>
    <w:p w:rsidR="009F4289" w:rsidRPr="00981A42" w:rsidRDefault="009F4289" w:rsidP="008012E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206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624"/>
        <w:gridCol w:w="838"/>
        <w:gridCol w:w="838"/>
        <w:gridCol w:w="838"/>
        <w:gridCol w:w="973"/>
        <w:gridCol w:w="703"/>
      </w:tblGrid>
      <w:tr w:rsidR="00F1535B" w:rsidRPr="00981A42" w:rsidTr="002F235D">
        <w:trPr>
          <w:trHeight w:val="145"/>
        </w:trPr>
        <w:tc>
          <w:tcPr>
            <w:tcW w:w="4637" w:type="dxa"/>
            <w:vMerge w:val="restart"/>
          </w:tcPr>
          <w:p w:rsidR="00F1535B" w:rsidRPr="00981A42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Целевые индикаторы результативности реализации проекта</w:t>
            </w:r>
          </w:p>
        </w:tc>
        <w:tc>
          <w:tcPr>
            <w:tcW w:w="624" w:type="dxa"/>
            <w:vMerge w:val="restart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Ед. изм.</w:t>
            </w:r>
          </w:p>
        </w:tc>
        <w:tc>
          <w:tcPr>
            <w:tcW w:w="4190" w:type="dxa"/>
            <w:gridSpan w:val="5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Поэтапное достижение показателей результативности по годам реализации проекта</w:t>
            </w:r>
          </w:p>
        </w:tc>
      </w:tr>
      <w:tr w:rsidR="00F1535B" w:rsidRPr="00981A42" w:rsidTr="002F235D">
        <w:trPr>
          <w:trHeight w:val="145"/>
        </w:trPr>
        <w:tc>
          <w:tcPr>
            <w:tcW w:w="4637" w:type="dxa"/>
            <w:vMerge/>
            <w:vAlign w:val="center"/>
          </w:tcPr>
          <w:p w:rsidR="00F1535B" w:rsidRPr="00981A42" w:rsidRDefault="00F1535B" w:rsidP="002F235D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1535B" w:rsidRPr="0040505D" w:rsidRDefault="00F1535B" w:rsidP="002F235D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2018 год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2019 год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2020 год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2021 год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/>
                <w:bCs/>
                <w:color w:val="002060"/>
                <w:sz w:val="20"/>
                <w:szCs w:val="24"/>
              </w:rPr>
              <w:t>2022 год</w:t>
            </w:r>
          </w:p>
        </w:tc>
      </w:tr>
      <w:tr w:rsidR="00F1535B" w:rsidRPr="00981A42" w:rsidTr="002F235D">
        <w:trPr>
          <w:trHeight w:val="853"/>
        </w:trPr>
        <w:tc>
          <w:tcPr>
            <w:tcW w:w="4637" w:type="dxa"/>
          </w:tcPr>
          <w:p w:rsidR="00F1535B" w:rsidRPr="00981A42" w:rsidRDefault="00F1535B" w:rsidP="002F235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1.Количество разработанных совместно с социальными партнерами «коротких» программ обеспечивающих потребности организаций в квалифицированных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специалистах и рабочих кадрах. 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Ед.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24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28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30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32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35</w:t>
            </w:r>
          </w:p>
        </w:tc>
      </w:tr>
      <w:tr w:rsidR="00F1535B" w:rsidRPr="00981A42" w:rsidTr="002F235D">
        <w:trPr>
          <w:trHeight w:val="853"/>
        </w:trPr>
        <w:tc>
          <w:tcPr>
            <w:tcW w:w="4637" w:type="dxa"/>
          </w:tcPr>
          <w:p w:rsidR="00F1535B" w:rsidRPr="00981A42" w:rsidRDefault="00F1535B" w:rsidP="002F235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Положительная внешняя содержательная экспертиза социальными партнерами всех ОПОП,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включая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контрольно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оценочные, методические и учебные материалы,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реализуемые в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колледж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е,  с учетом внесенных изменений и корректировок, по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профессиям и специальностям СПО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rPr>
                <w:color w:val="002060"/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rPr>
                <w:color w:val="002060"/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rPr>
                <w:color w:val="002060"/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100%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rPr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100%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rPr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100%</w:t>
            </w:r>
          </w:p>
        </w:tc>
      </w:tr>
      <w:tr w:rsidR="00F1535B" w:rsidRPr="00981A42" w:rsidTr="002F235D">
        <w:trPr>
          <w:trHeight w:val="293"/>
        </w:trPr>
        <w:tc>
          <w:tcPr>
            <w:tcW w:w="4637" w:type="dxa"/>
          </w:tcPr>
          <w:p w:rsidR="00F1535B" w:rsidRPr="00981A42" w:rsidRDefault="00F1535B" w:rsidP="002F235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Доля выпускников трудоустроившихся по специальности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80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90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95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</w:t>
            </w:r>
          </w:p>
        </w:tc>
      </w:tr>
      <w:tr w:rsidR="00F1535B" w:rsidRPr="00981A42" w:rsidTr="002F235D">
        <w:trPr>
          <w:trHeight w:val="1924"/>
        </w:trPr>
        <w:tc>
          <w:tcPr>
            <w:tcW w:w="4637" w:type="dxa"/>
          </w:tcPr>
          <w:p w:rsidR="00F1535B" w:rsidRPr="00981A42" w:rsidRDefault="00F1535B" w:rsidP="002F235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Количество разработанных совместно с социальными партнерами программ 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по созданию информационного контента по профессия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м, специальностям, организациям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деревообработки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и лесопромышленности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2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2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3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4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5</w:t>
            </w:r>
          </w:p>
        </w:tc>
      </w:tr>
      <w:tr w:rsidR="00F1535B" w:rsidRPr="00981A42" w:rsidTr="002F235D">
        <w:trPr>
          <w:trHeight w:val="1370"/>
        </w:trPr>
        <w:tc>
          <w:tcPr>
            <w:tcW w:w="4637" w:type="dxa"/>
          </w:tcPr>
          <w:p w:rsidR="00F1535B" w:rsidRPr="00981A42" w:rsidRDefault="00F1535B" w:rsidP="002F235D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Доля программ, прошедших государственно-общественную аккредитацию с участием социальных партнеров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15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20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25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30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jc w:val="center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color w:val="002060"/>
                <w:sz w:val="20"/>
                <w:szCs w:val="24"/>
              </w:rPr>
              <w:t>35</w:t>
            </w:r>
          </w:p>
        </w:tc>
      </w:tr>
      <w:tr w:rsidR="00F1535B" w:rsidRPr="00981A42" w:rsidTr="002F235D">
        <w:trPr>
          <w:trHeight w:val="1390"/>
        </w:trPr>
        <w:tc>
          <w:tcPr>
            <w:tcW w:w="4637" w:type="dxa"/>
          </w:tcPr>
          <w:p w:rsidR="00F1535B" w:rsidRPr="00981A42" w:rsidRDefault="00F1535B" w:rsidP="002F235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Доля долгосрочных договоров о сотрудничестве с предприятиями и   социальными партнерами строительной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,</w:t>
            </w:r>
            <w:r w:rsidRPr="00981A42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деревообрабатывающей отраслей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и лесной промышленности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17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19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20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22</w:t>
            </w:r>
          </w:p>
        </w:tc>
      </w:tr>
      <w:tr w:rsidR="00F1535B" w:rsidRPr="00981A42" w:rsidTr="002F235D">
        <w:trPr>
          <w:trHeight w:val="1102"/>
        </w:trPr>
        <w:tc>
          <w:tcPr>
            <w:tcW w:w="4637" w:type="dxa"/>
          </w:tcPr>
          <w:p w:rsidR="00F1535B" w:rsidRPr="00981A42" w:rsidRDefault="00F1535B" w:rsidP="002F23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>Количество представителей работодателей, участвующих в государственной итоговой аттестации выпускников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6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7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7</w:t>
            </w:r>
          </w:p>
        </w:tc>
      </w:tr>
      <w:tr w:rsidR="00F1535B" w:rsidRPr="00981A42" w:rsidTr="002F235D">
        <w:trPr>
          <w:trHeight w:val="558"/>
        </w:trPr>
        <w:tc>
          <w:tcPr>
            <w:tcW w:w="4637" w:type="dxa"/>
          </w:tcPr>
          <w:p w:rsidR="00F1535B" w:rsidRPr="00981A42" w:rsidRDefault="00F1535B" w:rsidP="002F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Количество новых программ подготовки в связи с изменившимися запросами предприятий на кадровые ресурсы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2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3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3</w:t>
            </w:r>
          </w:p>
        </w:tc>
      </w:tr>
      <w:tr w:rsidR="00F1535B" w:rsidRPr="00981A42" w:rsidTr="002F235D">
        <w:trPr>
          <w:trHeight w:val="558"/>
        </w:trPr>
        <w:tc>
          <w:tcPr>
            <w:tcW w:w="4637" w:type="dxa"/>
          </w:tcPr>
          <w:p w:rsidR="00F1535B" w:rsidRPr="00981A42" w:rsidRDefault="00F1535B" w:rsidP="002F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1A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Доля охвата однопрофильных образовательных учреждений услугами РЦ (стажировки, повышение квалификации и другие услуги) </w:t>
            </w:r>
          </w:p>
        </w:tc>
        <w:tc>
          <w:tcPr>
            <w:tcW w:w="624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%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75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85</w:t>
            </w:r>
          </w:p>
        </w:tc>
        <w:tc>
          <w:tcPr>
            <w:tcW w:w="838" w:type="dxa"/>
          </w:tcPr>
          <w:p w:rsidR="00F1535B" w:rsidRPr="0040505D" w:rsidRDefault="00F1535B" w:rsidP="002F2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0"/>
                <w:szCs w:val="24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90</w:t>
            </w:r>
          </w:p>
        </w:tc>
        <w:tc>
          <w:tcPr>
            <w:tcW w:w="973" w:type="dxa"/>
          </w:tcPr>
          <w:p w:rsidR="00F1535B" w:rsidRPr="0040505D" w:rsidRDefault="00F1535B" w:rsidP="002F235D">
            <w:pPr>
              <w:rPr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95</w:t>
            </w:r>
          </w:p>
        </w:tc>
        <w:tc>
          <w:tcPr>
            <w:tcW w:w="703" w:type="dxa"/>
          </w:tcPr>
          <w:p w:rsidR="00F1535B" w:rsidRPr="0040505D" w:rsidRDefault="00F1535B" w:rsidP="002F235D">
            <w:pPr>
              <w:rPr>
                <w:sz w:val="20"/>
              </w:rPr>
            </w:pPr>
            <w:r w:rsidRPr="0040505D">
              <w:rPr>
                <w:rFonts w:ascii="Times New Roman" w:hAnsi="Times New Roman"/>
                <w:bCs/>
                <w:color w:val="002060"/>
                <w:sz w:val="20"/>
                <w:szCs w:val="24"/>
              </w:rPr>
              <w:t>100</w:t>
            </w:r>
          </w:p>
        </w:tc>
      </w:tr>
    </w:tbl>
    <w:p w:rsidR="009F4289" w:rsidRPr="00981A42" w:rsidRDefault="009F4289" w:rsidP="008012E1">
      <w:pPr>
        <w:rPr>
          <w:rFonts w:ascii="Times New Roman" w:hAnsi="Times New Roman"/>
          <w:color w:val="002060"/>
          <w:sz w:val="24"/>
          <w:szCs w:val="24"/>
        </w:rPr>
      </w:pPr>
    </w:p>
    <w:p w:rsidR="009F4289" w:rsidRPr="00981A42" w:rsidRDefault="009F4289">
      <w:pPr>
        <w:rPr>
          <w:rFonts w:ascii="Times New Roman" w:hAnsi="Times New Roman"/>
          <w:color w:val="002060"/>
          <w:sz w:val="24"/>
          <w:szCs w:val="24"/>
        </w:rPr>
      </w:pPr>
    </w:p>
    <w:sectPr w:rsidR="009F4289" w:rsidRPr="00981A42" w:rsidSect="000D76F9">
      <w:footerReference w:type="default" r:id="rId7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3B" w:rsidRDefault="00531A3B" w:rsidP="000D76F9">
      <w:pPr>
        <w:spacing w:after="0" w:line="240" w:lineRule="auto"/>
      </w:pPr>
      <w:r>
        <w:separator/>
      </w:r>
    </w:p>
  </w:endnote>
  <w:endnote w:type="continuationSeparator" w:id="0">
    <w:p w:rsidR="00531A3B" w:rsidRDefault="00531A3B" w:rsidP="000D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9717"/>
      <w:docPartObj>
        <w:docPartGallery w:val="Page Numbers (Bottom of Page)"/>
        <w:docPartUnique/>
      </w:docPartObj>
    </w:sdtPr>
    <w:sdtEndPr/>
    <w:sdtContent>
      <w:p w:rsidR="000D76F9" w:rsidRDefault="000D76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32">
          <w:rPr>
            <w:noProof/>
          </w:rPr>
          <w:t>48</w:t>
        </w:r>
        <w:r>
          <w:fldChar w:fldCharType="end"/>
        </w:r>
      </w:p>
    </w:sdtContent>
  </w:sdt>
  <w:p w:rsidR="000D76F9" w:rsidRDefault="000D76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3B" w:rsidRDefault="00531A3B" w:rsidP="000D76F9">
      <w:pPr>
        <w:spacing w:after="0" w:line="240" w:lineRule="auto"/>
      </w:pPr>
      <w:r>
        <w:separator/>
      </w:r>
    </w:p>
  </w:footnote>
  <w:footnote w:type="continuationSeparator" w:id="0">
    <w:p w:rsidR="00531A3B" w:rsidRDefault="00531A3B" w:rsidP="000D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55F"/>
    <w:multiLevelType w:val="hybridMultilevel"/>
    <w:tmpl w:val="4E207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956593"/>
    <w:multiLevelType w:val="hybridMultilevel"/>
    <w:tmpl w:val="E6AAB8EC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060FE3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46C1121C"/>
    <w:multiLevelType w:val="hybridMultilevel"/>
    <w:tmpl w:val="D6367092"/>
    <w:lvl w:ilvl="0" w:tplc="1B061AE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9F3859"/>
    <w:multiLevelType w:val="hybridMultilevel"/>
    <w:tmpl w:val="EC8A1EF0"/>
    <w:lvl w:ilvl="0" w:tplc="A5A8AC5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0A15557"/>
    <w:multiLevelType w:val="hybridMultilevel"/>
    <w:tmpl w:val="46A69F48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932"/>
    <w:multiLevelType w:val="hybridMultilevel"/>
    <w:tmpl w:val="EFD0B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1B52"/>
    <w:multiLevelType w:val="hybridMultilevel"/>
    <w:tmpl w:val="E54E604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2E1"/>
    <w:rsid w:val="000046B4"/>
    <w:rsid w:val="0005164E"/>
    <w:rsid w:val="00054004"/>
    <w:rsid w:val="00072E38"/>
    <w:rsid w:val="00095F7D"/>
    <w:rsid w:val="000A4FA8"/>
    <w:rsid w:val="000D76F9"/>
    <w:rsid w:val="001002C7"/>
    <w:rsid w:val="00126882"/>
    <w:rsid w:val="00146285"/>
    <w:rsid w:val="00151B27"/>
    <w:rsid w:val="00162A0F"/>
    <w:rsid w:val="00165301"/>
    <w:rsid w:val="001878C0"/>
    <w:rsid w:val="00190E32"/>
    <w:rsid w:val="001B3576"/>
    <w:rsid w:val="001C2DA9"/>
    <w:rsid w:val="001F4567"/>
    <w:rsid w:val="002152C0"/>
    <w:rsid w:val="00250CED"/>
    <w:rsid w:val="00263044"/>
    <w:rsid w:val="002A1DFD"/>
    <w:rsid w:val="002C5B67"/>
    <w:rsid w:val="00302F36"/>
    <w:rsid w:val="00356ECD"/>
    <w:rsid w:val="00360EC8"/>
    <w:rsid w:val="00372638"/>
    <w:rsid w:val="00381143"/>
    <w:rsid w:val="00384AC0"/>
    <w:rsid w:val="00392E2F"/>
    <w:rsid w:val="00395EB9"/>
    <w:rsid w:val="003C03A8"/>
    <w:rsid w:val="003F2F46"/>
    <w:rsid w:val="0041595C"/>
    <w:rsid w:val="004204E5"/>
    <w:rsid w:val="00463AF6"/>
    <w:rsid w:val="00465560"/>
    <w:rsid w:val="00466D82"/>
    <w:rsid w:val="004B79D5"/>
    <w:rsid w:val="004C6212"/>
    <w:rsid w:val="004F0F83"/>
    <w:rsid w:val="004F3F0D"/>
    <w:rsid w:val="004F69EC"/>
    <w:rsid w:val="005021F1"/>
    <w:rsid w:val="00531A3B"/>
    <w:rsid w:val="00565392"/>
    <w:rsid w:val="005853E8"/>
    <w:rsid w:val="005C40E0"/>
    <w:rsid w:val="005D4C13"/>
    <w:rsid w:val="005E1B13"/>
    <w:rsid w:val="005E7A3B"/>
    <w:rsid w:val="005F0424"/>
    <w:rsid w:val="005F50F1"/>
    <w:rsid w:val="005F58CF"/>
    <w:rsid w:val="00600F68"/>
    <w:rsid w:val="006170AB"/>
    <w:rsid w:val="00631655"/>
    <w:rsid w:val="0063587D"/>
    <w:rsid w:val="006432C1"/>
    <w:rsid w:val="0065053E"/>
    <w:rsid w:val="006777CD"/>
    <w:rsid w:val="00680369"/>
    <w:rsid w:val="00685A0B"/>
    <w:rsid w:val="00691F6C"/>
    <w:rsid w:val="006C67AA"/>
    <w:rsid w:val="007468E0"/>
    <w:rsid w:val="00747858"/>
    <w:rsid w:val="00750662"/>
    <w:rsid w:val="00785270"/>
    <w:rsid w:val="007948D9"/>
    <w:rsid w:val="00797808"/>
    <w:rsid w:val="007C6D52"/>
    <w:rsid w:val="007E7A52"/>
    <w:rsid w:val="007F154F"/>
    <w:rsid w:val="007F567D"/>
    <w:rsid w:val="007F5A96"/>
    <w:rsid w:val="008012E1"/>
    <w:rsid w:val="00804F4D"/>
    <w:rsid w:val="008538F3"/>
    <w:rsid w:val="0087316D"/>
    <w:rsid w:val="00892C2C"/>
    <w:rsid w:val="00897E8F"/>
    <w:rsid w:val="008A719B"/>
    <w:rsid w:val="008D2DA3"/>
    <w:rsid w:val="008E7768"/>
    <w:rsid w:val="008F406A"/>
    <w:rsid w:val="00931EAA"/>
    <w:rsid w:val="00933D34"/>
    <w:rsid w:val="00933D9D"/>
    <w:rsid w:val="009410B7"/>
    <w:rsid w:val="00981A42"/>
    <w:rsid w:val="009A790F"/>
    <w:rsid w:val="009B0510"/>
    <w:rsid w:val="009B69F6"/>
    <w:rsid w:val="009D2644"/>
    <w:rsid w:val="009E35E8"/>
    <w:rsid w:val="009F4289"/>
    <w:rsid w:val="00A17619"/>
    <w:rsid w:val="00A273B7"/>
    <w:rsid w:val="00A40157"/>
    <w:rsid w:val="00AD3460"/>
    <w:rsid w:val="00AF44D2"/>
    <w:rsid w:val="00B32177"/>
    <w:rsid w:val="00B640B6"/>
    <w:rsid w:val="00B708CC"/>
    <w:rsid w:val="00BA6BAC"/>
    <w:rsid w:val="00BB577C"/>
    <w:rsid w:val="00BC2489"/>
    <w:rsid w:val="00BC5A10"/>
    <w:rsid w:val="00BD56BD"/>
    <w:rsid w:val="00BF3316"/>
    <w:rsid w:val="00C02FA9"/>
    <w:rsid w:val="00C17946"/>
    <w:rsid w:val="00C24390"/>
    <w:rsid w:val="00C71357"/>
    <w:rsid w:val="00C75BD4"/>
    <w:rsid w:val="00C90E50"/>
    <w:rsid w:val="00CA3C10"/>
    <w:rsid w:val="00CA7254"/>
    <w:rsid w:val="00CD4BB0"/>
    <w:rsid w:val="00CF291C"/>
    <w:rsid w:val="00D14D9F"/>
    <w:rsid w:val="00D15BC6"/>
    <w:rsid w:val="00D27677"/>
    <w:rsid w:val="00D47D9D"/>
    <w:rsid w:val="00D52BBC"/>
    <w:rsid w:val="00D76C20"/>
    <w:rsid w:val="00D95777"/>
    <w:rsid w:val="00DD6EAA"/>
    <w:rsid w:val="00DE67F0"/>
    <w:rsid w:val="00DF7B52"/>
    <w:rsid w:val="00E0109A"/>
    <w:rsid w:val="00E02EC3"/>
    <w:rsid w:val="00E40EE3"/>
    <w:rsid w:val="00E64B53"/>
    <w:rsid w:val="00E846D4"/>
    <w:rsid w:val="00E87947"/>
    <w:rsid w:val="00E94F08"/>
    <w:rsid w:val="00EF78AC"/>
    <w:rsid w:val="00F1535B"/>
    <w:rsid w:val="00F3755F"/>
    <w:rsid w:val="00F414B9"/>
    <w:rsid w:val="00F85E9E"/>
    <w:rsid w:val="00FC2F12"/>
    <w:rsid w:val="00FC6D14"/>
    <w:rsid w:val="00FC7057"/>
    <w:rsid w:val="00FD290C"/>
    <w:rsid w:val="00FE174D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12E4B-9749-45C4-B700-33B8D0C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12E1"/>
  </w:style>
  <w:style w:type="paragraph" w:customStyle="1" w:styleId="a4">
    <w:name w:val="МОН"/>
    <w:basedOn w:val="a"/>
    <w:uiPriority w:val="99"/>
    <w:rsid w:val="008012E1"/>
    <w:pPr>
      <w:spacing w:after="0" w:line="360" w:lineRule="auto"/>
      <w:ind w:firstLine="709"/>
      <w:jc w:val="both"/>
    </w:pPr>
    <w:rPr>
      <w:sz w:val="28"/>
      <w:szCs w:val="24"/>
    </w:rPr>
  </w:style>
  <w:style w:type="paragraph" w:styleId="a5">
    <w:name w:val="Body Text"/>
    <w:basedOn w:val="a"/>
    <w:link w:val="a6"/>
    <w:uiPriority w:val="99"/>
    <w:rsid w:val="00C75BD4"/>
    <w:pPr>
      <w:shd w:val="clear" w:color="auto" w:fill="FFFFFF"/>
      <w:spacing w:before="420" w:after="0" w:line="480" w:lineRule="exact"/>
      <w:ind w:firstLine="70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75BD4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7">
    <w:name w:val="Table Grid"/>
    <w:basedOn w:val="a1"/>
    <w:uiPriority w:val="99"/>
    <w:rsid w:val="00D52B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qFormat/>
    <w:locked/>
    <w:rsid w:val="006170AB"/>
    <w:pPr>
      <w:spacing w:after="0" w:line="240" w:lineRule="auto"/>
      <w:ind w:firstLine="709"/>
      <w:jc w:val="center"/>
    </w:pPr>
    <w:rPr>
      <w:rFonts w:ascii="Times New Roman" w:hAnsi="Times New Roman"/>
      <w:b/>
      <w:sz w:val="52"/>
      <w:szCs w:val="20"/>
    </w:rPr>
  </w:style>
  <w:style w:type="character" w:customStyle="1" w:styleId="a9">
    <w:name w:val="Название Знак"/>
    <w:basedOn w:val="a0"/>
    <w:link w:val="a8"/>
    <w:rsid w:val="006170AB"/>
    <w:rPr>
      <w:rFonts w:ascii="Times New Roman" w:hAnsi="Times New Roman"/>
      <w:b/>
      <w:sz w:val="52"/>
      <w:szCs w:val="20"/>
    </w:rPr>
  </w:style>
  <w:style w:type="paragraph" w:customStyle="1" w:styleId="ConsPlusNormal">
    <w:name w:val="ConsPlusNormal"/>
    <w:rsid w:val="00617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6F9"/>
  </w:style>
  <w:style w:type="paragraph" w:styleId="ac">
    <w:name w:val="footer"/>
    <w:basedOn w:val="a"/>
    <w:link w:val="ad"/>
    <w:uiPriority w:val="99"/>
    <w:unhideWhenUsed/>
    <w:rsid w:val="000D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Ko.masterov02</dc:creator>
  <cp:lastModifiedBy>Юлия Александровна Русина</cp:lastModifiedBy>
  <cp:revision>12</cp:revision>
  <cp:lastPrinted>2014-05-30T10:52:00Z</cp:lastPrinted>
  <dcterms:created xsi:type="dcterms:W3CDTF">2018-02-08T13:59:00Z</dcterms:created>
  <dcterms:modified xsi:type="dcterms:W3CDTF">2019-11-12T10:12:00Z</dcterms:modified>
</cp:coreProperties>
</file>